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26" w:rsidRDefault="0023763B">
      <w:pPr>
        <w:pStyle w:val="22"/>
        <w:shd w:val="clear" w:color="auto" w:fill="auto"/>
        <w:spacing w:before="220" w:after="680"/>
        <w:ind w:firstLine="0"/>
        <w:jc w:val="center"/>
      </w:pPr>
      <w:bookmarkStart w:id="0" w:name="_GoBack"/>
      <w:bookmarkEnd w:id="0"/>
      <w:r>
        <w:rPr>
          <w:u w:val="none"/>
        </w:rPr>
        <w:t>РЕКОМЕНДУЕМАЯ ФОРМА ОТЧЕТА УПРАВЛЯЮЩЕЙ ОРГАНИЗАЦИИ О ВЫПОЛНЕННЫХ РАБОТАХ И ОКАЗАННЫХ УСЛУГАХ ПО</w:t>
      </w:r>
      <w:r>
        <w:rPr>
          <w:u w:val="none"/>
        </w:rPr>
        <w:br/>
        <w:t>ДОГОВОРУ УПРАВЛЕНИЯ МНОГОКВАРТИРНЫМ ДОМОМ *</w:t>
      </w:r>
    </w:p>
    <w:p w:rsidR="00940D26" w:rsidRDefault="0023763B">
      <w:pPr>
        <w:pStyle w:val="22"/>
        <w:numPr>
          <w:ilvl w:val="0"/>
          <w:numId w:val="1"/>
        </w:numPr>
        <w:shd w:val="clear" w:color="auto" w:fill="auto"/>
        <w:tabs>
          <w:tab w:val="left" w:pos="401"/>
        </w:tabs>
        <w:spacing w:after="260"/>
        <w:ind w:firstLine="0"/>
        <w:jc w:val="center"/>
      </w:pPr>
      <w:r>
        <w:rPr>
          <w:u w:val="none"/>
        </w:rPr>
        <w:t>ИНФОРМАЦИЯ О МНОГОКВАРТИРНОМ ДОМЕ</w:t>
      </w:r>
    </w:p>
    <w:p w:rsidR="00940D26" w:rsidRDefault="0023763B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after="0"/>
      </w:pPr>
      <w:r>
        <w:t>Основная информация</w:t>
      </w:r>
    </w:p>
    <w:p w:rsidR="00940D26" w:rsidRDefault="0023763B">
      <w:pPr>
        <w:pStyle w:val="22"/>
        <w:numPr>
          <w:ilvl w:val="1"/>
          <w:numId w:val="2"/>
        </w:numPr>
        <w:shd w:val="clear" w:color="auto" w:fill="auto"/>
        <w:tabs>
          <w:tab w:val="left" w:pos="758"/>
          <w:tab w:val="left" w:leader="underscore" w:pos="2823"/>
        </w:tabs>
        <w:spacing w:after="0"/>
      </w:pPr>
      <w:r>
        <w:rPr>
          <w:b w:val="0"/>
          <w:bCs w:val="0"/>
          <w:u w:val="none"/>
        </w:rPr>
        <w:t xml:space="preserve">Отчетный период: </w:t>
      </w:r>
      <w:r>
        <w:rPr>
          <w:b w:val="0"/>
          <w:bCs w:val="0"/>
          <w:u w:val="none"/>
        </w:rPr>
        <w:tab/>
        <w:t xml:space="preserve"> год.</w:t>
      </w:r>
    </w:p>
    <w:p w:rsidR="00940D26" w:rsidRDefault="0023763B">
      <w:pPr>
        <w:pStyle w:val="a5"/>
        <w:numPr>
          <w:ilvl w:val="1"/>
          <w:numId w:val="2"/>
        </w:numPr>
        <w:shd w:val="clear" w:color="auto" w:fill="auto"/>
        <w:tabs>
          <w:tab w:val="left" w:pos="758"/>
          <w:tab w:val="left" w:leader="underscore" w:pos="822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Управляющая организация: </w:t>
      </w:r>
      <w:r>
        <w:tab/>
        <w:t>.</w:t>
      </w:r>
    </w:p>
    <w:p w:rsidR="00940D26" w:rsidRDefault="0023763B">
      <w:pPr>
        <w:pStyle w:val="a5"/>
        <w:numPr>
          <w:ilvl w:val="2"/>
          <w:numId w:val="2"/>
        </w:numPr>
        <w:shd w:val="clear" w:color="auto" w:fill="auto"/>
        <w:tabs>
          <w:tab w:val="left" w:pos="911"/>
          <w:tab w:val="left" w:leader="underscore" w:pos="4652"/>
          <w:tab w:val="left" w:leader="underscore" w:pos="6668"/>
        </w:tabs>
      </w:pPr>
      <w:r>
        <w:t xml:space="preserve">Лицензия на управление МКД № </w:t>
      </w:r>
      <w:r>
        <w:rPr>
          <w:b/>
          <w:bCs/>
          <w:i/>
          <w:iCs/>
        </w:rPr>
        <w:tab/>
        <w:t>, дата выдачи</w:t>
      </w:r>
      <w:r>
        <w:rPr>
          <w:b/>
          <w:bCs/>
          <w:i/>
          <w:iCs/>
        </w:rPr>
        <w:tab/>
      </w:r>
      <w:r>
        <w:t>.</w:t>
      </w:r>
    </w:p>
    <w:p w:rsidR="00940D26" w:rsidRDefault="0023763B">
      <w:pPr>
        <w:pStyle w:val="a5"/>
        <w:numPr>
          <w:ilvl w:val="1"/>
          <w:numId w:val="2"/>
        </w:numPr>
        <w:shd w:val="clear" w:color="auto" w:fill="auto"/>
        <w:tabs>
          <w:tab w:val="left" w:pos="758"/>
          <w:tab w:val="left" w:leader="underscore" w:pos="6188"/>
          <w:tab w:val="left" w:leader="underscore" w:pos="6668"/>
          <w:tab w:val="left" w:leader="underscore" w:pos="8554"/>
        </w:tabs>
      </w:pPr>
      <w:r>
        <w:t>Реквизиты договора управления: договор от «</w:t>
      </w:r>
      <w:r>
        <w:rPr>
          <w:b/>
          <w:bCs/>
        </w:rPr>
        <w:t xml:space="preserve">_»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>
        <w:t xml:space="preserve">года № </w:t>
      </w:r>
      <w:r>
        <w:tab/>
        <w:t>.</w:t>
      </w:r>
    </w:p>
    <w:p w:rsidR="00940D26" w:rsidRDefault="0023763B">
      <w:pPr>
        <w:pStyle w:val="a5"/>
        <w:numPr>
          <w:ilvl w:val="1"/>
          <w:numId w:val="2"/>
        </w:numPr>
        <w:shd w:val="clear" w:color="auto" w:fill="auto"/>
        <w:tabs>
          <w:tab w:val="left" w:pos="758"/>
          <w:tab w:val="left" w:leader="underscore" w:pos="9015"/>
        </w:tabs>
        <w:spacing w:after="220"/>
      </w:pPr>
      <w:r>
        <w:t xml:space="preserve">Срок действия договора управления: </w:t>
      </w:r>
      <w:r>
        <w:tab/>
        <w:t>.</w:t>
      </w:r>
      <w:r>
        <w:fldChar w:fldCharType="end"/>
      </w:r>
    </w:p>
    <w:p w:rsidR="00940D26" w:rsidRDefault="0023763B">
      <w:pPr>
        <w:pStyle w:val="22"/>
        <w:numPr>
          <w:ilvl w:val="0"/>
          <w:numId w:val="2"/>
        </w:numPr>
        <w:shd w:val="clear" w:color="auto" w:fill="auto"/>
        <w:tabs>
          <w:tab w:val="left" w:pos="610"/>
        </w:tabs>
        <w:spacing w:after="220"/>
      </w:pPr>
      <w:r>
        <w:t>Общие сведения о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1338"/>
        <w:gridCol w:w="2352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Адрес многоквартирного дома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2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Кадастровый номер многоквартирного дома (при его наличии)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3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Серия, тип постройки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4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Год постройки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5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Степень износа по данным государственного технического учета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6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Степень фактического износа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7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Год последнего капитального ремонта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8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Количество </w:t>
            </w:r>
            <w:r>
              <w:t>этажей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9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Наличие подвала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10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Наличие цокольного этажа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11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Наличие мансарды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12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Наличие мезонина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13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Количество квартир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14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Количество нежилых помещений, не входящих в состав общего имущества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20"/>
              <w:jc w:val="both"/>
            </w:pPr>
            <w:r>
              <w:t>15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Площадь: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а) многоквартирного дома с лоджиями, </w:t>
            </w:r>
            <w:r>
              <w:t>балконами, шкафами, коридорами и лестничными клетками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2376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1338"/>
        <w:gridCol w:w="2352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б) жилых помещений (общая площадь квартир)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в) нежилых помещений (общая площадь нежилых помещений, не входящих в состав общего имущества в МКД)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г) помещений общего пользования (общая площадь </w:t>
            </w:r>
            <w:r>
              <w:t>нежилых помещений, входящих в состав общего имущества в МКД)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16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Количество лестничных клеток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17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Уборочная площадь лестниц (включая межквартирные лестничные площадки)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18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Уборочная площадь общих коридоров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19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Уборочная площадь других помещений общего </w:t>
            </w:r>
            <w:r>
              <w:t>пользования (включая технические этажи, чердаки, технические подвалы)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20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21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Кадастровый номер земельного участка (при его наличии)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199" w:line="1" w:lineRule="exact"/>
      </w:pPr>
    </w:p>
    <w:p w:rsidR="00940D26" w:rsidRDefault="00940D26">
      <w:pPr>
        <w:spacing w:line="1" w:lineRule="exact"/>
      </w:pPr>
    </w:p>
    <w:p w:rsidR="00940D26" w:rsidRDefault="0023763B">
      <w:pPr>
        <w:pStyle w:val="a9"/>
        <w:shd w:val="clear" w:color="auto" w:fill="auto"/>
        <w:ind w:left="235"/>
      </w:pPr>
      <w:r>
        <w:t>3. Движение денежных средств за</w:t>
      </w:r>
      <w:r>
        <w:t xml:space="preserve"> отчетный период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1342"/>
        <w:gridCol w:w="2400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Остаток денежных средств на начало отчетного периода,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Задолженность на начало отчетного периода,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Начислено собственникам и пользователям помещений в МКД,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Оплачено собственниками и пользователями </w:t>
            </w:r>
            <w:r>
              <w:t>помещений в МКД,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Задолженность на конец отчетного периода нарастающим итогом,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6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Остаток денежных средств на конец отчетного периода,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7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Процент оплаты от начисленной суммы,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Доход от сдачи в аренду помещений, </w:t>
            </w:r>
            <w:r>
              <w:t>входящих в состав общего имущества,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Доход от сдачи в аренду рекламных мест,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Прочие доходы,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Затрачено на выполнение работ в отчетный период,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Затрачено на вознаграждение управляющей компании за </w:t>
            </w:r>
            <w:r>
              <w:t>осуществление деятельности по управлению многоквартирным домом, тыс. руб., в том числе: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12.1</w:t>
            </w: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фонд оплаты труда, тыс.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439" w:line="1" w:lineRule="exact"/>
      </w:pPr>
    </w:p>
    <w:p w:rsidR="00940D26" w:rsidRDefault="0023763B">
      <w:pPr>
        <w:pStyle w:val="22"/>
        <w:numPr>
          <w:ilvl w:val="0"/>
          <w:numId w:val="1"/>
        </w:numPr>
        <w:shd w:val="clear" w:color="auto" w:fill="auto"/>
        <w:tabs>
          <w:tab w:val="left" w:pos="402"/>
        </w:tabs>
        <w:spacing w:after="200"/>
        <w:ind w:firstLine="0"/>
        <w:jc w:val="center"/>
      </w:pPr>
      <w:r>
        <w:rPr>
          <w:u w:val="none"/>
        </w:rPr>
        <w:t>РАБОТЫ И УСЛУГИ ПО СОДЕРЖАНИЮ И РЕМОНТУ ОБЩЕГО ИМУЩЕСТВА В МНОГОКВАРТИРНОМ ДОМЕ</w:t>
      </w:r>
    </w:p>
    <w:p w:rsidR="00940D26" w:rsidRDefault="0023763B">
      <w:pPr>
        <w:pStyle w:val="a9"/>
        <w:shd w:val="clear" w:color="auto" w:fill="auto"/>
        <w:ind w:left="331"/>
      </w:pPr>
      <w:r>
        <w:t>1. Основная информация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5885"/>
        <w:gridCol w:w="994"/>
        <w:gridCol w:w="989"/>
        <w:gridCol w:w="1661"/>
        <w:gridCol w:w="2098"/>
        <w:gridCol w:w="1886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работ в</w:t>
            </w:r>
            <w:r>
              <w:rPr>
                <w:b/>
                <w:bCs/>
              </w:rPr>
              <w:t xml:space="preserve"> соответствии с перечнем работ, указанным в договоре управления МКД, заключенном с собственниками помещений или с ТСЖ,ЖК, ЖСК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Ед.изм.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Выполнено работ по договору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Периодичность выполнения работы/оказания услуги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940D26"/>
        </w:tc>
        <w:tc>
          <w:tcPr>
            <w:tcW w:w="5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940D2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940D2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940D26"/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D26" w:rsidRDefault="00940D26"/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</w:tr>
    </w:tbl>
    <w:p w:rsidR="00940D26" w:rsidRDefault="002376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885"/>
        <w:gridCol w:w="994"/>
        <w:gridCol w:w="989"/>
        <w:gridCol w:w="1661"/>
        <w:gridCol w:w="2098"/>
        <w:gridCol w:w="1829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Работы и услуги по содержанию общего имущества в многоквартирном доме, </w:t>
            </w:r>
            <w:r>
              <w:t>в том числе: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Уборка лестничных клеток, коридоров и других мест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Работы по очистке мусорокамер, мусоропроводов, контейнерных </w:t>
            </w:r>
            <w:r>
              <w:t>площадок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Эксплуатация лифтового хозяйства (диспетчерский контроль, аварийное обслуживание, осмотры, освидетельствования и пр.)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Работы по дератизации (обработка мест общего пользования от крыс, мышей)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Работы по дезинсекции </w:t>
            </w:r>
            <w:r>
              <w:t>(обработка мест общего пользования от насекомых)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spacing w:line="230" w:lineRule="auto"/>
            </w:pPr>
            <w:r>
              <w:t>Услуги ресурсопотребления в целях проведения работ на общем имуществе в многоквартирном доме,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1.6.1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160"/>
            </w:pPr>
            <w:r>
              <w:t>- холодная вода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куб.м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1.6.2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- горячая вода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куб.м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1.6.3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- отопление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куб.м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1.6.4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- водоотведение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куб.м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1.6.5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- электроснабжение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тыс.кВт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Работы по санитарной уборке придомовой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Работы по обслуживанию зеленых насаждений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1.9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Другие работы и услуги по содержанию общего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Работы по текущему ремонту общего имущества в многоквартирном доме и мероприятия по энергосбережению (ниже указываются работы, производимые на элементах общего имущества), </w:t>
            </w:r>
            <w: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фундаментам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стенам и фасадам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крышам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окнам и дверям на лестничных клетках и во вспомогательных помещениях, входным дверям в подъезды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лестницам, пандусам, крыльцам, козырькам над входами в подъезды, подвалы и над балконами верхних этажей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60"/>
              <w:jc w:val="both"/>
            </w:pPr>
            <w:r>
              <w:t>2.6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 xml:space="preserve">по </w:t>
            </w:r>
            <w:r>
              <w:t>полам (на лестницах, чердаках, в холлах и подвалах)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2376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885"/>
        <w:gridCol w:w="994"/>
        <w:gridCol w:w="989"/>
        <w:gridCol w:w="1661"/>
        <w:gridCol w:w="2098"/>
        <w:gridCol w:w="1829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lastRenderedPageBreak/>
              <w:t>2.7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стенам в подъездах, технических помещениях, в других общедомовых вспомогательных помещениях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2.8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</w:pPr>
            <w:r>
              <w:t>по системам центрального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2.9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системам горячего водоснабжения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системам холодного водоснабжения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системам водоотведения (канализации)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внутренним системам электроснабжения и электротехническим устройствам дома (например, щитовых)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внутренним системам газоснабжения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системам вентиляции, дымоудаления и противопожарной автоматики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мусоропроводам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 лифтам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почтовым ящикам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общедомовым приборам учета коммунальных ресурсов (при их наличии в составе общего имущества</w:t>
            </w:r>
            <w:r>
              <w:t xml:space="preserve"> в МКД)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2.19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по расширительным бакам (при их наличии в составе общего имущества в МКД либо в случае их использования в соответствии с заключенными договорами, когда они расположены в ином многоквартирном доме)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rPr>
                <w:b/>
                <w:bCs/>
              </w:rPr>
              <w:t>Непредвиденные работы</w:t>
            </w:r>
          </w:p>
          <w:p w:rsidR="00940D26" w:rsidRDefault="0023763B">
            <w:pPr>
              <w:pStyle w:val="a7"/>
              <w:shd w:val="clear" w:color="auto" w:fill="auto"/>
            </w:pPr>
            <w:r>
              <w:t xml:space="preserve">по </w:t>
            </w:r>
            <w:r>
              <w:t>устранению аварий на системах электро-, тепло-, водоснабжения, водоотведения в выходные и праздничные дни, ночное время по заявкам (договор на аварийное обслуживание), выполнения заявок населения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Работы на других элементах многоквартирного дома,</w:t>
            </w:r>
            <w:r>
              <w:t xml:space="preserve"> относящихся к общему имуществу собственников помещений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Работы по текущему ремонту малых архитектурных форм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Ремонт ограждений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пог.м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Ремонт детских площадок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шт./кв.м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Ремонт спортивных площадок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шт./кв.м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Ремонт площадок для выгула собак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шт./кв.м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Ремонт светильников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Ремонт асфальтовых покрытий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2.29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Ремонт бортового камня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кв.м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tabs>
                <w:tab w:val="left" w:pos="2933"/>
              </w:tabs>
            </w:pPr>
            <w:r>
              <w:rPr>
                <w:b/>
                <w:bCs/>
              </w:rPr>
              <w:t>Иные работы и услуги по договору управления многоквартирным домом,</w:t>
            </w:r>
            <w:r>
              <w:rPr>
                <w:b/>
                <w:bCs/>
              </w:rPr>
              <w:tab/>
            </w:r>
            <w: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23763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885"/>
        <w:gridCol w:w="994"/>
        <w:gridCol w:w="989"/>
        <w:gridCol w:w="1661"/>
        <w:gridCol w:w="2098"/>
        <w:gridCol w:w="1829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lastRenderedPageBreak/>
              <w:t>3.1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расчетно-кассовые услуги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3.2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хранение и ведение технической документации на МКД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3.3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диспетчерские услуги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3.4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услуги по регистрации граждан, предоставлению справок и т.п.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3.5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160"/>
            </w:pPr>
            <w:r>
              <w:t>- другие, не относящиеся к вышеперечисленным разделам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219" w:line="1" w:lineRule="exact"/>
      </w:pPr>
    </w:p>
    <w:p w:rsidR="00940D26" w:rsidRDefault="00940D26">
      <w:pPr>
        <w:spacing w:line="1" w:lineRule="exact"/>
      </w:pPr>
    </w:p>
    <w:p w:rsidR="00940D26" w:rsidRDefault="0023763B">
      <w:pPr>
        <w:pStyle w:val="a9"/>
        <w:shd w:val="clear" w:color="auto" w:fill="auto"/>
        <w:ind w:left="504"/>
      </w:pPr>
      <w:r>
        <w:t>2. Произведенные расчеты с ресурсоснабжающими организациями за ресурсы, поставляемые по заключенным договорам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29"/>
        <w:gridCol w:w="2280"/>
        <w:gridCol w:w="1752"/>
        <w:gridCol w:w="2102"/>
        <w:gridCol w:w="2669"/>
        <w:gridCol w:w="2462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коммунальной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Поставщик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Начислено поставщиком УО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Оплачено УО поставщику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Начислено УО собственникам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Оплачено </w:t>
            </w:r>
            <w:r>
              <w:rPr>
                <w:b/>
                <w:bCs/>
              </w:rPr>
              <w:t>собственниками в УО</w:t>
            </w: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Холодное водоснабжение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Водоотведение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Отопление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Горячее водоснабжение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</w:pPr>
            <w:r>
              <w:t>Электроснабжение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ind w:firstLine="200"/>
              <w:jc w:val="both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Газоснабжение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319" w:line="1" w:lineRule="exact"/>
      </w:pPr>
    </w:p>
    <w:p w:rsidR="00940D26" w:rsidRDefault="0023763B">
      <w:pPr>
        <w:pStyle w:val="22"/>
        <w:numPr>
          <w:ilvl w:val="0"/>
          <w:numId w:val="2"/>
        </w:numPr>
        <w:shd w:val="clear" w:color="auto" w:fill="auto"/>
        <w:tabs>
          <w:tab w:val="left" w:pos="1014"/>
          <w:tab w:val="left" w:leader="underscore" w:pos="13239"/>
        </w:tabs>
        <w:spacing w:after="440"/>
        <w:ind w:firstLine="680"/>
      </w:pPr>
      <w:r>
        <w:t xml:space="preserve">Сведения о случаях нарушения периодичности и качества предоставления коммунальных </w:t>
      </w:r>
      <w:r>
        <w:t>услуг за отчетный период:</w:t>
      </w:r>
      <w:r>
        <w:rPr>
          <w:u w:val="none"/>
        </w:rPr>
        <w:tab/>
      </w:r>
      <w:r>
        <w:rPr>
          <w:i/>
          <w:iCs/>
          <w:u w:val="none"/>
        </w:rPr>
        <w:t>.</w:t>
      </w:r>
    </w:p>
    <w:p w:rsidR="00940D26" w:rsidRDefault="0023763B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  <w:ind w:firstLine="0"/>
        <w:jc w:val="center"/>
      </w:pPr>
      <w:r>
        <w:rPr>
          <w:u w:val="none"/>
        </w:rPr>
        <w:t>СВЕДЕНИЯ О ФОРМИРОВАНИИ ФОНДА КАПИТАЛЬНОГО РЕМОНТА</w:t>
      </w:r>
    </w:p>
    <w:p w:rsidR="00940D26" w:rsidRDefault="0023763B">
      <w:pPr>
        <w:pStyle w:val="22"/>
        <w:shd w:val="clear" w:color="auto" w:fill="auto"/>
        <w:spacing w:after="220"/>
        <w:ind w:firstLine="0"/>
        <w:jc w:val="center"/>
      </w:pPr>
      <w:r>
        <w:rPr>
          <w:u w:val="none"/>
        </w:rPr>
        <w:t>(в случае формирования фонда на специальном счете)</w:t>
      </w:r>
    </w:p>
    <w:p w:rsidR="00940D26" w:rsidRDefault="0023763B">
      <w:pPr>
        <w:pStyle w:val="22"/>
        <w:shd w:val="clear" w:color="auto" w:fill="auto"/>
        <w:spacing w:after="220"/>
        <w:ind w:left="160" w:firstLine="540"/>
      </w:pPr>
      <w:r>
        <w:t xml:space="preserve">1. Сведения о начисленных и поступивших суммах за капитальный ремонт общего имущества в многоквартирном доме, а также о </w:t>
      </w:r>
      <w:r>
        <w:t>суммах, использованных в отчетном периоде средств специального счета:</w:t>
      </w:r>
    </w:p>
    <w:p w:rsidR="00940D26" w:rsidRDefault="0023763B">
      <w:pPr>
        <w:pStyle w:val="a5"/>
        <w:numPr>
          <w:ilvl w:val="0"/>
          <w:numId w:val="3"/>
        </w:numPr>
        <w:shd w:val="clear" w:color="auto" w:fill="auto"/>
        <w:tabs>
          <w:tab w:val="left" w:pos="1182"/>
          <w:tab w:val="left" w:leader="underscore" w:pos="13239"/>
        </w:tabs>
        <w:ind w:left="680" w:firstLine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Способ формирования фонда капитального ремонта, дата и реквизиты общего собрания собственников по выбору способа формирования фонда:</w:t>
      </w:r>
      <w:r>
        <w:tab/>
        <w:t>.</w:t>
      </w:r>
    </w:p>
    <w:p w:rsidR="00940D26" w:rsidRDefault="0023763B">
      <w:pPr>
        <w:pStyle w:val="a5"/>
        <w:numPr>
          <w:ilvl w:val="0"/>
          <w:numId w:val="3"/>
        </w:numPr>
        <w:shd w:val="clear" w:color="auto" w:fill="auto"/>
        <w:tabs>
          <w:tab w:val="left" w:pos="1182"/>
          <w:tab w:val="left" w:leader="underscore" w:pos="9086"/>
        </w:tabs>
        <w:ind w:firstLine="680"/>
      </w:pPr>
      <w:r>
        <w:t>Размер начисленных взносов на к</w:t>
      </w:r>
      <w:r>
        <w:t>апитальный ремонт в отчетный период</w:t>
      </w:r>
      <w:r>
        <w:rPr>
          <w:b/>
          <w:bCs/>
          <w:i/>
          <w:iCs/>
        </w:rPr>
        <w:tab/>
        <w:t>.</w:t>
      </w:r>
    </w:p>
    <w:p w:rsidR="00940D26" w:rsidRDefault="0023763B">
      <w:pPr>
        <w:pStyle w:val="a5"/>
        <w:numPr>
          <w:ilvl w:val="0"/>
          <w:numId w:val="3"/>
        </w:numPr>
        <w:shd w:val="clear" w:color="auto" w:fill="auto"/>
        <w:tabs>
          <w:tab w:val="left" w:pos="1182"/>
          <w:tab w:val="left" w:leader="underscore" w:pos="9086"/>
        </w:tabs>
        <w:ind w:firstLine="680"/>
      </w:pPr>
      <w:r>
        <w:t xml:space="preserve">Размер оплаченных взносов на капитальный ремонт в отчетный период </w:t>
      </w:r>
      <w:r>
        <w:rPr>
          <w:b/>
          <w:bCs/>
          <w:i/>
          <w:iCs/>
        </w:rPr>
        <w:tab/>
        <w:t>.</w:t>
      </w:r>
    </w:p>
    <w:p w:rsidR="00940D26" w:rsidRDefault="0023763B">
      <w:pPr>
        <w:pStyle w:val="a5"/>
        <w:numPr>
          <w:ilvl w:val="0"/>
          <w:numId w:val="3"/>
        </w:numPr>
        <w:shd w:val="clear" w:color="auto" w:fill="auto"/>
        <w:tabs>
          <w:tab w:val="left" w:pos="1182"/>
          <w:tab w:val="left" w:leader="underscore" w:pos="9086"/>
        </w:tabs>
        <w:ind w:firstLine="680"/>
      </w:pPr>
      <w:r>
        <w:t>Размер задолженности по взносам на капитальный ремонт в отчетный период</w:t>
      </w:r>
      <w:r>
        <w:tab/>
        <w:t>.</w:t>
      </w:r>
      <w:r>
        <w:fldChar w:fldCharType="end"/>
      </w:r>
    </w:p>
    <w:p w:rsidR="00940D26" w:rsidRDefault="0023763B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after="220"/>
        <w:ind w:firstLine="680"/>
      </w:pPr>
      <w:r>
        <w:rPr>
          <w:b w:val="0"/>
          <w:bCs w:val="0"/>
          <w:u w:val="none"/>
        </w:rPr>
        <w:t>Сведения об использованных средствах на капитальный ремонт общего имущес</w:t>
      </w:r>
      <w:r>
        <w:rPr>
          <w:b w:val="0"/>
          <w:bCs w:val="0"/>
          <w:u w:val="none"/>
        </w:rPr>
        <w:t>тва в многоквартирном доме: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00"/>
        <w:gridCol w:w="2942"/>
        <w:gridCol w:w="3946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spacing w:line="230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проведенных работ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Затраченная сумма за отчетный период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ind w:left="1640"/>
            </w:pPr>
            <w:r>
              <w:rPr>
                <w:b/>
                <w:bCs/>
              </w:rPr>
              <w:t>Примечание</w:t>
            </w: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439" w:line="1" w:lineRule="exact"/>
      </w:pPr>
    </w:p>
    <w:p w:rsidR="00940D26" w:rsidRDefault="0023763B">
      <w:pPr>
        <w:pStyle w:val="22"/>
        <w:numPr>
          <w:ilvl w:val="0"/>
          <w:numId w:val="1"/>
        </w:numPr>
        <w:shd w:val="clear" w:color="auto" w:fill="auto"/>
        <w:tabs>
          <w:tab w:val="left" w:pos="454"/>
        </w:tabs>
        <w:spacing w:after="220"/>
        <w:ind w:firstLine="0"/>
        <w:jc w:val="center"/>
      </w:pPr>
      <w:r>
        <w:rPr>
          <w:u w:val="none"/>
        </w:rPr>
        <w:t>ИНФОРМАЦИЯ О ВЕДЕНИИ ПРЕТЕНЗИОННО - ИСКОВОЙ РАБОТЫ</w:t>
      </w:r>
    </w:p>
    <w:p w:rsidR="00940D26" w:rsidRDefault="0023763B">
      <w:pPr>
        <w:pStyle w:val="22"/>
        <w:shd w:val="clear" w:color="auto" w:fill="auto"/>
        <w:spacing w:after="220"/>
        <w:ind w:firstLine="780"/>
      </w:pPr>
      <w:r>
        <w:rPr>
          <w:u w:val="none"/>
        </w:rPr>
        <w:t>1. В отношении потребителей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709"/>
        <w:gridCol w:w="1757"/>
        <w:gridCol w:w="3854"/>
        <w:gridCol w:w="3211"/>
      </w:tblGrid>
      <w:tr w:rsidR="00940D2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Наименование параметра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Результат рассмотрения </w:t>
            </w:r>
            <w:r>
              <w:rPr>
                <w:b/>
                <w:bCs/>
              </w:rPr>
              <w:t>(удовлетворено/отказано)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spacing w:before="10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Направлено претензий потребителям-должникам, ед.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D26" w:rsidRDefault="0023763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Направлено исковых заявлений, ед.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  <w:tr w:rsidR="00940D2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23763B">
            <w:pPr>
              <w:pStyle w:val="a7"/>
              <w:shd w:val="clear" w:color="auto" w:fill="auto"/>
              <w:spacing w:before="100"/>
              <w:jc w:val="center"/>
            </w:pPr>
            <w: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D26" w:rsidRDefault="0023763B">
            <w:pPr>
              <w:pStyle w:val="a7"/>
              <w:shd w:val="clear" w:color="auto" w:fill="auto"/>
            </w:pPr>
            <w:r>
              <w:t>Получено денежных средств по результатам претензионно-исковой работы,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D26" w:rsidRDefault="00940D26">
            <w:pPr>
              <w:rPr>
                <w:sz w:val="10"/>
                <w:szCs w:val="10"/>
              </w:rPr>
            </w:pPr>
          </w:p>
        </w:tc>
      </w:tr>
    </w:tbl>
    <w:p w:rsidR="00940D26" w:rsidRDefault="00940D26">
      <w:pPr>
        <w:spacing w:after="219" w:line="1" w:lineRule="exact"/>
      </w:pPr>
    </w:p>
    <w:p w:rsidR="00940D26" w:rsidRDefault="0023763B">
      <w:pPr>
        <w:pStyle w:val="22"/>
        <w:numPr>
          <w:ilvl w:val="0"/>
          <w:numId w:val="4"/>
        </w:numPr>
        <w:shd w:val="clear" w:color="auto" w:fill="auto"/>
        <w:tabs>
          <w:tab w:val="left" w:pos="919"/>
        </w:tabs>
        <w:spacing w:after="220"/>
        <w:ind w:firstLine="580"/>
      </w:pPr>
      <w:r>
        <w:rPr>
          <w:u w:val="none"/>
        </w:rPr>
        <w:t>В отношении управляющей организации</w:t>
      </w:r>
    </w:p>
    <w:p w:rsidR="00940D26" w:rsidRDefault="0023763B">
      <w:pPr>
        <w:pStyle w:val="22"/>
        <w:shd w:val="clear" w:color="auto" w:fill="auto"/>
        <w:tabs>
          <w:tab w:val="left" w:leader="underscore" w:pos="4702"/>
        </w:tabs>
        <w:spacing w:after="0"/>
        <w:ind w:firstLine="520"/>
      </w:pPr>
      <w:r>
        <w:t xml:space="preserve">2.1. </w:t>
      </w:r>
      <w:r>
        <w:t>Сведения о взысканиях, штрафах и иных санкциях за отчетный период в отношении организации со стороны органов государственного жилищного надзора:</w:t>
      </w:r>
      <w:r>
        <w:rPr>
          <w:u w:val="none"/>
        </w:rPr>
        <w:tab/>
      </w:r>
      <w:r>
        <w:rPr>
          <w:i/>
          <w:iCs/>
          <w:u w:val="none"/>
        </w:rPr>
        <w:t>.</w:t>
      </w:r>
    </w:p>
    <w:p w:rsidR="00940D26" w:rsidRDefault="0023763B">
      <w:pPr>
        <w:pStyle w:val="22"/>
        <w:shd w:val="clear" w:color="auto" w:fill="auto"/>
        <w:spacing w:after="320"/>
        <w:ind w:firstLine="0"/>
        <w:jc w:val="center"/>
      </w:pPr>
      <w:r>
        <w:rPr>
          <w:b w:val="0"/>
          <w:bCs w:val="0"/>
          <w:u w:val="none"/>
        </w:rPr>
        <w:t>(сумма)</w:t>
      </w:r>
    </w:p>
    <w:p w:rsidR="00940D26" w:rsidRDefault="0023763B">
      <w:pPr>
        <w:pStyle w:val="22"/>
        <w:numPr>
          <w:ilvl w:val="1"/>
          <w:numId w:val="4"/>
        </w:numPr>
        <w:shd w:val="clear" w:color="auto" w:fill="auto"/>
        <w:tabs>
          <w:tab w:val="left" w:pos="987"/>
          <w:tab w:val="left" w:leader="underscore" w:pos="4702"/>
        </w:tabs>
        <w:spacing w:after="0"/>
        <w:ind w:firstLine="520"/>
      </w:pPr>
      <w:r>
        <w:t xml:space="preserve">Сведения о взысканиях, штрафах и иных санкциях за отчетный период в отношении организации со стороны </w:t>
      </w:r>
      <w:r>
        <w:t>прочих органов контроля и надзора:</w:t>
      </w:r>
      <w:r>
        <w:rPr>
          <w:u w:val="none"/>
        </w:rPr>
        <w:tab/>
      </w:r>
      <w:r>
        <w:rPr>
          <w:i/>
          <w:iCs/>
          <w:u w:val="none"/>
        </w:rPr>
        <w:t>.</w:t>
      </w:r>
    </w:p>
    <w:p w:rsidR="00940D26" w:rsidRDefault="0023763B">
      <w:pPr>
        <w:pStyle w:val="22"/>
        <w:shd w:val="clear" w:color="auto" w:fill="auto"/>
        <w:spacing w:after="0"/>
        <w:ind w:firstLine="0"/>
        <w:jc w:val="center"/>
      </w:pPr>
      <w:r>
        <w:rPr>
          <w:b w:val="0"/>
          <w:bCs w:val="0"/>
          <w:u w:val="none"/>
        </w:rPr>
        <w:t>(сумма)</w:t>
      </w:r>
    </w:p>
    <w:p w:rsidR="00940D26" w:rsidRDefault="0023763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79500" distB="0" distL="0" distR="0" simplePos="0" relativeHeight="125829378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1079500</wp:posOffset>
                </wp:positionV>
                <wp:extent cx="57594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D26" w:rsidRDefault="0023763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85.5pt;margin-top:85.pt;width:45.350000000000001pt;height:11.5pt;z-index:-125829375;mso-wrap-distance-left:0;mso-wrap-distance-top:85.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9500" distB="0" distL="0" distR="0" simplePos="0" relativeHeight="125829380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ragraph">
                  <wp:posOffset>1079500</wp:posOffset>
                </wp:positionV>
                <wp:extent cx="1212850" cy="146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D26" w:rsidRDefault="0023763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М.П. 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6.69999999999999pt;margin-top:85.pt;width:95.5pt;height:11.5pt;z-index:-125829373;mso-wrap-distance-left:0;mso-wrap-distance-top:85.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М.П. 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9500" distB="0" distL="0" distR="0" simplePos="0" relativeHeight="125829382" behindDoc="0" locked="0" layoutInCell="1" allowOverlap="1">
                <wp:simplePos x="0" y="0"/>
                <wp:positionH relativeFrom="page">
                  <wp:posOffset>8122920</wp:posOffset>
                </wp:positionH>
                <wp:positionV relativeFrom="paragraph">
                  <wp:posOffset>1079500</wp:posOffset>
                </wp:positionV>
                <wp:extent cx="67373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D26" w:rsidRDefault="0023763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(фамилия 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9.60000000000002pt;margin-top:85.pt;width:53.049999999999997pt;height:11.5pt;z-index:-125829371;mso-wrap-distance-left:0;mso-wrap-distance-top:85.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(фамилия 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0D26" w:rsidRDefault="0023763B">
      <w:pPr>
        <w:pStyle w:val="22"/>
        <w:shd w:val="clear" w:color="auto" w:fill="auto"/>
        <w:spacing w:after="0"/>
        <w:ind w:firstLine="0"/>
      </w:pPr>
      <w:r>
        <w:rPr>
          <w:i/>
          <w:iCs/>
          <w:u w:val="none"/>
        </w:rPr>
        <w:t>Примечание:</w:t>
      </w:r>
    </w:p>
    <w:p w:rsidR="00940D26" w:rsidRDefault="0023763B">
      <w:pPr>
        <w:pStyle w:val="22"/>
        <w:shd w:val="clear" w:color="auto" w:fill="auto"/>
        <w:spacing w:after="160"/>
        <w:ind w:left="980" w:firstLine="0"/>
      </w:pPr>
      <w:r>
        <w:rPr>
          <w:b w:val="0"/>
          <w:bCs w:val="0"/>
          <w:u w:val="none"/>
        </w:rPr>
        <w:t xml:space="preserve">* данная форма является </w:t>
      </w:r>
      <w:r>
        <w:rPr>
          <w:u w:val="none"/>
        </w:rPr>
        <w:t xml:space="preserve">примерной ежегодной формой </w:t>
      </w:r>
      <w:r>
        <w:rPr>
          <w:b w:val="0"/>
          <w:bCs w:val="0"/>
          <w:u w:val="none"/>
        </w:rPr>
        <w:t>отчета, используемой в качестве методических рекомендаций, а также может быть использована по со</w:t>
      </w:r>
      <w:r>
        <w:rPr>
          <w:b w:val="0"/>
          <w:bCs w:val="0"/>
          <w:u w:val="none"/>
        </w:rPr>
        <w:t>гласованию сторон для ежемесячной и/или ежеквартальной отчетности по нарастающему итогу в случае заключения договора управления управляющей организацией с ТСЖ, ЖСК, ЖК</w:t>
      </w:r>
    </w:p>
    <w:p w:rsidR="00940D26" w:rsidRDefault="0023763B">
      <w:pPr>
        <w:pStyle w:val="22"/>
        <w:shd w:val="clear" w:color="auto" w:fill="auto"/>
        <w:spacing w:after="0"/>
        <w:ind w:firstLine="980"/>
        <w:jc w:val="both"/>
      </w:pPr>
      <w:r>
        <w:rPr>
          <w:b w:val="0"/>
          <w:bCs w:val="0"/>
          <w:u w:val="none"/>
        </w:rPr>
        <w:t>к отчету могут быть приложены дополнительные сведения</w:t>
      </w:r>
    </w:p>
    <w:sectPr w:rsidR="00940D26">
      <w:headerReference w:type="default" r:id="rId7"/>
      <w:pgSz w:w="16840" w:h="11900" w:orient="landscape"/>
      <w:pgMar w:top="422" w:right="1065" w:bottom="34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763B">
      <w:r>
        <w:separator/>
      </w:r>
    </w:p>
  </w:endnote>
  <w:endnote w:type="continuationSeparator" w:id="0">
    <w:p w:rsidR="00000000" w:rsidRDefault="002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26" w:rsidRDefault="00940D26"/>
  </w:footnote>
  <w:footnote w:type="continuationSeparator" w:id="0">
    <w:p w:rsidR="00940D26" w:rsidRDefault="00940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26" w:rsidRDefault="00940D2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912D1"/>
    <w:multiLevelType w:val="multilevel"/>
    <w:tmpl w:val="0F8E2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D71131"/>
    <w:multiLevelType w:val="multilevel"/>
    <w:tmpl w:val="5A9EE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A2340"/>
    <w:multiLevelType w:val="multilevel"/>
    <w:tmpl w:val="FC6075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27424"/>
    <w:multiLevelType w:val="multilevel"/>
    <w:tmpl w:val="9BE2C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26"/>
    <w:rsid w:val="0023763B"/>
    <w:rsid w:val="009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A88BF-72DF-4661-B86A-46348B0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ind w:firstLine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/>
      <w:ind w:firstLine="220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10"/>
      <w:ind w:firstLine="26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UserGKH</dc:creator>
  <cp:lastModifiedBy>PressCentr</cp:lastModifiedBy>
  <cp:revision>2</cp:revision>
  <dcterms:created xsi:type="dcterms:W3CDTF">2022-08-15T01:11:00Z</dcterms:created>
  <dcterms:modified xsi:type="dcterms:W3CDTF">2022-08-15T01:11:00Z</dcterms:modified>
</cp:coreProperties>
</file>