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  <w:r w:rsidR="007E79E0">
        <w:rPr>
          <w:b/>
          <w:bCs/>
          <w:color w:val="000000"/>
        </w:rPr>
        <w:t>№</w:t>
      </w:r>
      <w:r w:rsidR="00F22EC7">
        <w:rPr>
          <w:b/>
          <w:bCs/>
          <w:color w:val="000000"/>
        </w:rPr>
        <w:t>7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C901DF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за 1 квартал 20</w:t>
      </w:r>
      <w:r w:rsidR="007E79E0">
        <w:rPr>
          <w:b/>
          <w:bCs/>
          <w:color w:val="000000"/>
        </w:rPr>
        <w:t>20</w:t>
      </w:r>
      <w:r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413E80">
      <w:pPr>
        <w:jc w:val="center"/>
      </w:pPr>
      <w:r>
        <w:t xml:space="preserve">г. </w:t>
      </w:r>
      <w:r w:rsidRPr="00ED08FA">
        <w:t xml:space="preserve">Лесозаводск                                                                         </w:t>
      </w:r>
      <w:r w:rsidR="008829B0" w:rsidRPr="00ED08FA">
        <w:t xml:space="preserve">              </w:t>
      </w:r>
      <w:r w:rsidR="00905AE5" w:rsidRPr="00ED08FA">
        <w:t xml:space="preserve">   </w:t>
      </w:r>
      <w:r w:rsidR="008776ED" w:rsidRPr="008776ED">
        <w:t>2</w:t>
      </w:r>
      <w:r w:rsidR="005A3CE6">
        <w:t>8</w:t>
      </w:r>
      <w:r w:rsidRPr="008776ED">
        <w:t>.05.20</w:t>
      </w:r>
      <w:r w:rsidR="007E79E0">
        <w:t>20</w:t>
      </w:r>
    </w:p>
    <w:p w:rsidR="00E21F72" w:rsidRDefault="00E21F72" w:rsidP="00E21F72">
      <w:pPr>
        <w:jc w:val="both"/>
      </w:pPr>
    </w:p>
    <w:p w:rsidR="00037A61" w:rsidRDefault="002E036D" w:rsidP="0032496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="00E21F72" w:rsidRPr="00E21F72">
        <w:rPr>
          <w:color w:val="000000"/>
        </w:rPr>
        <w:t>тчет об исполнении бюджета Лесозаводского  городского округа за 1 квартал 20</w:t>
      </w:r>
      <w:r w:rsidR="007E79E0">
        <w:rPr>
          <w:color w:val="000000"/>
        </w:rPr>
        <w:t>20</w:t>
      </w:r>
      <w:r w:rsidR="0032496D">
        <w:rPr>
          <w:color w:val="000000"/>
        </w:rPr>
        <w:t xml:space="preserve"> </w:t>
      </w:r>
      <w:r w:rsidR="00E21F72" w:rsidRPr="00E21F72">
        <w:rPr>
          <w:color w:val="000000"/>
        </w:rPr>
        <w:t xml:space="preserve">года </w:t>
      </w:r>
      <w:r>
        <w:rPr>
          <w:color w:val="000000"/>
        </w:rPr>
        <w:t>пред</w:t>
      </w:r>
      <w:r w:rsidRPr="00E21F72">
        <w:rPr>
          <w:color w:val="000000"/>
        </w:rPr>
        <w:t>став</w:t>
      </w:r>
      <w:r>
        <w:rPr>
          <w:color w:val="000000"/>
        </w:rPr>
        <w:t>лен</w:t>
      </w:r>
      <w:r w:rsidRPr="00E21F72">
        <w:rPr>
          <w:color w:val="000000"/>
        </w:rPr>
        <w:t xml:space="preserve"> </w:t>
      </w:r>
      <w:r>
        <w:rPr>
          <w:color w:val="000000"/>
        </w:rPr>
        <w:t>в</w:t>
      </w:r>
      <w:r w:rsidRPr="00E21F72">
        <w:rPr>
          <w:color w:val="000000"/>
        </w:rPr>
        <w:t xml:space="preserve"> Контрольно-счетную палату</w:t>
      </w:r>
      <w:r w:rsidRPr="008829B0">
        <w:rPr>
          <w:color w:val="000000"/>
        </w:rPr>
        <w:t xml:space="preserve"> </w:t>
      </w:r>
      <w:r w:rsidRPr="00E21F72">
        <w:rPr>
          <w:color w:val="000000"/>
        </w:rPr>
        <w:t xml:space="preserve">Лесозаводского городского округа </w:t>
      </w:r>
      <w:r w:rsidR="00251D89">
        <w:rPr>
          <w:color w:val="000000"/>
        </w:rPr>
        <w:t>2</w:t>
      </w:r>
      <w:r w:rsidR="00C901DF">
        <w:rPr>
          <w:color w:val="000000"/>
        </w:rPr>
        <w:t>9</w:t>
      </w:r>
      <w:r w:rsidR="00251D89">
        <w:rPr>
          <w:color w:val="000000"/>
        </w:rPr>
        <w:t>.04.20</w:t>
      </w:r>
      <w:r w:rsidR="007E79E0">
        <w:rPr>
          <w:color w:val="000000"/>
        </w:rPr>
        <w:t>20</w:t>
      </w:r>
      <w:r w:rsidR="00E21F72" w:rsidRPr="00E21F72">
        <w:rPr>
          <w:color w:val="000000"/>
        </w:rPr>
        <w:t xml:space="preserve">, </w:t>
      </w:r>
      <w:r>
        <w:rPr>
          <w:color w:val="000000"/>
        </w:rPr>
        <w:t xml:space="preserve">что соответствует </w:t>
      </w:r>
      <w:r w:rsidR="00E21F72" w:rsidRPr="00E21F72">
        <w:rPr>
          <w:color w:val="000000"/>
        </w:rPr>
        <w:t>п. 3 ст. 3</w:t>
      </w:r>
      <w:r w:rsidR="007E79E0">
        <w:rPr>
          <w:color w:val="000000"/>
        </w:rPr>
        <w:t>3</w:t>
      </w:r>
      <w:r w:rsidR="00E21F72" w:rsidRPr="00E21F72">
        <w:rPr>
          <w:color w:val="000000"/>
        </w:rPr>
        <w:t xml:space="preserve"> Положения</w:t>
      </w:r>
      <w:proofErr w:type="gramStart"/>
      <w:r w:rsidR="00E21F72" w:rsidRPr="00E21F72">
        <w:rPr>
          <w:color w:val="000000"/>
        </w:rPr>
        <w:t xml:space="preserve"> </w:t>
      </w:r>
      <w:r w:rsidR="00E21F72" w:rsidRPr="00905AE5">
        <w:rPr>
          <w:color w:val="000000" w:themeColor="text1"/>
        </w:rPr>
        <w:t>О</w:t>
      </w:r>
      <w:proofErr w:type="gramEnd"/>
      <w:r w:rsidR="00E21F72" w:rsidRPr="00905AE5">
        <w:rPr>
          <w:color w:val="000000" w:themeColor="text1"/>
        </w:rPr>
        <w:t xml:space="preserve"> бюджетном процессе в Лесозаводском городском округе, </w:t>
      </w:r>
      <w:r w:rsidR="00E21F72"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="00E21F72" w:rsidRPr="00E21F72">
        <w:rPr>
          <w:color w:val="333333"/>
        </w:rPr>
        <w:t>2</w:t>
      </w:r>
      <w:r w:rsidR="007E79E0">
        <w:rPr>
          <w:color w:val="333333"/>
        </w:rPr>
        <w:t>5</w:t>
      </w:r>
      <w:r w:rsidR="00E21F72" w:rsidRPr="00E21F72">
        <w:rPr>
          <w:color w:val="333333"/>
        </w:rPr>
        <w:t>.0</w:t>
      </w:r>
      <w:r w:rsidR="007E79E0">
        <w:rPr>
          <w:color w:val="333333"/>
        </w:rPr>
        <w:t>7</w:t>
      </w:r>
      <w:r w:rsidR="00E21F72" w:rsidRPr="00E21F72">
        <w:rPr>
          <w:color w:val="333333"/>
        </w:rPr>
        <w:t>.20</w:t>
      </w:r>
      <w:r w:rsidR="007E79E0">
        <w:rPr>
          <w:color w:val="333333"/>
        </w:rPr>
        <w:t>19</w:t>
      </w:r>
      <w:r w:rsidR="00E21F72" w:rsidRPr="00E21F72">
        <w:rPr>
          <w:color w:val="333333"/>
        </w:rPr>
        <w:t xml:space="preserve"> </w:t>
      </w:r>
      <w:r w:rsidR="00E21F72" w:rsidRPr="00E21F72">
        <w:rPr>
          <w:color w:val="000000"/>
        </w:rPr>
        <w:t>№ 1</w:t>
      </w:r>
      <w:r w:rsidR="007E79E0">
        <w:rPr>
          <w:color w:val="000000"/>
        </w:rPr>
        <w:t>07</w:t>
      </w:r>
      <w:r w:rsidR="00E21F72" w:rsidRPr="00E21F72">
        <w:rPr>
          <w:color w:val="000000"/>
        </w:rPr>
        <w:t xml:space="preserve">-НПА. </w:t>
      </w:r>
    </w:p>
    <w:p w:rsidR="00FB3D8F" w:rsidRDefault="000A5B53" w:rsidP="00037A61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квартал 20</w:t>
      </w:r>
      <w:r w:rsidR="007E79E0">
        <w:rPr>
          <w:color w:val="000000"/>
        </w:rPr>
        <w:t>20</w:t>
      </w:r>
      <w:r w:rsidRPr="006E38B0">
        <w:rPr>
          <w:color w:val="000000"/>
        </w:rPr>
        <w:t xml:space="preserve"> года утвержден распоряжением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городского округа</w:t>
      </w:r>
      <w:r w:rsidRPr="006E38B0">
        <w:rPr>
          <w:color w:val="000000"/>
        </w:rPr>
        <w:t xml:space="preserve"> от </w:t>
      </w:r>
      <w:r w:rsidR="007E79E0">
        <w:rPr>
          <w:color w:val="000000"/>
        </w:rPr>
        <w:t>1</w:t>
      </w:r>
      <w:r w:rsidR="00DC5D3F">
        <w:rPr>
          <w:color w:val="000000"/>
        </w:rPr>
        <w:t>6</w:t>
      </w:r>
      <w:r w:rsidRPr="000A5B53">
        <w:rPr>
          <w:color w:val="000000"/>
        </w:rPr>
        <w:t>.04.20</w:t>
      </w:r>
      <w:r w:rsidR="007E79E0">
        <w:rPr>
          <w:color w:val="000000"/>
        </w:rPr>
        <w:t>20</w:t>
      </w:r>
      <w:r w:rsidR="00C901DF">
        <w:rPr>
          <w:color w:val="000000"/>
        </w:rPr>
        <w:t xml:space="preserve"> №</w:t>
      </w:r>
      <w:r w:rsidR="007E79E0">
        <w:rPr>
          <w:color w:val="000000"/>
        </w:rPr>
        <w:t>498</w:t>
      </w:r>
      <w:r w:rsidRPr="000A5B53">
        <w:rPr>
          <w:color w:val="000000"/>
        </w:rPr>
        <w:t>.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Default="0028765D" w:rsidP="00E26F4D">
      <w:pPr>
        <w:pStyle w:val="a3"/>
        <w:numPr>
          <w:ilvl w:val="0"/>
          <w:numId w:val="13"/>
        </w:numPr>
        <w:ind w:left="426"/>
        <w:jc w:val="center"/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66160C" w:rsidRDefault="00185395" w:rsidP="00551C06">
      <w:pPr>
        <w:ind w:firstLine="709"/>
        <w:jc w:val="both"/>
      </w:pPr>
      <w:r>
        <w:t xml:space="preserve"> </w:t>
      </w:r>
    </w:p>
    <w:p w:rsidR="000E00A3" w:rsidRDefault="004970C8" w:rsidP="00551C06">
      <w:pPr>
        <w:ind w:firstLine="709"/>
        <w:jc w:val="both"/>
      </w:pPr>
      <w:r>
        <w:t>Б</w:t>
      </w:r>
      <w:r w:rsidR="000E00A3" w:rsidRPr="003F0EA6">
        <w:t>юджет</w:t>
      </w:r>
      <w:r>
        <w:t xml:space="preserve"> </w:t>
      </w:r>
      <w:r w:rsidR="000E00A3" w:rsidRPr="003F0EA6">
        <w:t xml:space="preserve"> </w:t>
      </w:r>
      <w:r w:rsidR="000E00A3">
        <w:t>Лесозаводского</w:t>
      </w:r>
      <w:r w:rsidR="000E00A3" w:rsidRPr="003F0EA6">
        <w:t xml:space="preserve"> городского округа на 20</w:t>
      </w:r>
      <w:r w:rsidR="00281A68">
        <w:t>20</w:t>
      </w:r>
      <w:r w:rsidR="000E00A3" w:rsidRPr="003F0EA6">
        <w:t xml:space="preserve"> год</w:t>
      </w:r>
      <w:r w:rsidRPr="000E00A3">
        <w:t xml:space="preserve"> </w:t>
      </w:r>
      <w:r>
        <w:t>утвержден</w:t>
      </w:r>
      <w:r w:rsidRPr="004970C8">
        <w:t xml:space="preserve"> </w:t>
      </w:r>
      <w:r>
        <w:t>р</w:t>
      </w:r>
      <w:r w:rsidRPr="003F0EA6">
        <w:t xml:space="preserve">ешением Думы </w:t>
      </w:r>
      <w:r>
        <w:t>Лесозаводского</w:t>
      </w:r>
      <w:r w:rsidRPr="003F0EA6">
        <w:t xml:space="preserve"> городского округа от </w:t>
      </w:r>
      <w:r w:rsidRPr="00E02319">
        <w:t xml:space="preserve"> </w:t>
      </w:r>
      <w:r>
        <w:t>2</w:t>
      </w:r>
      <w:r w:rsidR="0020689A">
        <w:t>7</w:t>
      </w:r>
      <w:r>
        <w:t>.12.201</w:t>
      </w:r>
      <w:r w:rsidR="00281A68">
        <w:t>9</w:t>
      </w:r>
      <w:r w:rsidRPr="00E02319">
        <w:t xml:space="preserve"> № </w:t>
      </w:r>
      <w:r w:rsidR="0020689A">
        <w:t>14</w:t>
      </w:r>
      <w:r>
        <w:t>4-НПА</w:t>
      </w:r>
      <w:r w:rsidRPr="00E02319">
        <w:t xml:space="preserve"> </w:t>
      </w:r>
      <w:r>
        <w:t>«</w:t>
      </w:r>
      <w:r w:rsidRPr="00E02319">
        <w:t>О   бюджете   Лесозаводского  городского округа  на 20</w:t>
      </w:r>
      <w:r w:rsidR="0020689A">
        <w:t>20</w:t>
      </w:r>
      <w:r>
        <w:t xml:space="preserve"> </w:t>
      </w:r>
      <w:r w:rsidRPr="00E02319">
        <w:t>год и плановый период 20</w:t>
      </w:r>
      <w:r>
        <w:t>2</w:t>
      </w:r>
      <w:r w:rsidR="0020689A">
        <w:t>1</w:t>
      </w:r>
      <w:r>
        <w:t xml:space="preserve"> </w:t>
      </w:r>
      <w:r w:rsidRPr="00E02319">
        <w:t>и 20</w:t>
      </w:r>
      <w:r>
        <w:t>2</w:t>
      </w:r>
      <w:r w:rsidR="0020689A">
        <w:t>2</w:t>
      </w:r>
      <w:r>
        <w:t xml:space="preserve"> годов»</w:t>
      </w:r>
      <w:r w:rsidRPr="00E02319">
        <w:t xml:space="preserve"> </w:t>
      </w:r>
      <w:r>
        <w:t>(далее – решение о бюджете)</w:t>
      </w:r>
      <w:r w:rsidR="000E00A3">
        <w:t>:</w:t>
      </w:r>
    </w:p>
    <w:p w:rsidR="000E00A3" w:rsidRPr="00FD61FD" w:rsidRDefault="00080245" w:rsidP="0032496D">
      <w:pPr>
        <w:jc w:val="both"/>
      </w:pPr>
      <w:r>
        <w:t xml:space="preserve">       </w:t>
      </w:r>
      <w:r w:rsidR="00021994">
        <w:t xml:space="preserve">  </w:t>
      </w:r>
      <w:r w:rsidR="00551C06">
        <w:t xml:space="preserve">- </w:t>
      </w:r>
      <w:r w:rsidR="000E00A3" w:rsidRPr="00A47F28">
        <w:t>доходы</w:t>
      </w:r>
      <w:r w:rsidR="00185395" w:rsidRPr="00246DD1">
        <w:rPr>
          <w:b/>
        </w:rPr>
        <w:t xml:space="preserve"> </w:t>
      </w:r>
      <w:r w:rsidR="00F670F5" w:rsidRPr="00246DD1">
        <w:rPr>
          <w:b/>
        </w:rPr>
        <w:t xml:space="preserve"> –</w:t>
      </w:r>
      <w:r w:rsidR="00F670F5" w:rsidRPr="00246DD1">
        <w:t xml:space="preserve"> </w:t>
      </w:r>
      <w:r w:rsidR="00185395" w:rsidRPr="00246DD1">
        <w:t xml:space="preserve">в сумме </w:t>
      </w:r>
      <w:r w:rsidR="009B6EF3">
        <w:t>1120765,58</w:t>
      </w:r>
      <w:r w:rsidR="00444C4E" w:rsidRPr="00FD61FD">
        <w:t xml:space="preserve"> </w:t>
      </w:r>
      <w:r w:rsidR="00185395" w:rsidRPr="00FD61FD">
        <w:t xml:space="preserve"> тыс. руб</w:t>
      </w:r>
      <w:r w:rsidR="000E00A3" w:rsidRPr="00FD61FD">
        <w:t>.</w:t>
      </w:r>
      <w:r w:rsidR="00185395" w:rsidRPr="00FD61FD">
        <w:t xml:space="preserve">, </w:t>
      </w:r>
    </w:p>
    <w:p w:rsidR="000E00A3" w:rsidRPr="00FD61FD" w:rsidRDefault="00080245" w:rsidP="0032496D">
      <w:pPr>
        <w:jc w:val="both"/>
      </w:pPr>
      <w:r w:rsidRPr="00FD61FD">
        <w:t xml:space="preserve">        </w:t>
      </w:r>
      <w:r w:rsidR="00021994" w:rsidRPr="00FD61FD">
        <w:t xml:space="preserve"> </w:t>
      </w:r>
      <w:r w:rsidR="00551C06" w:rsidRPr="00FD61FD">
        <w:t xml:space="preserve">- </w:t>
      </w:r>
      <w:r w:rsidR="00021994" w:rsidRPr="00FD61FD">
        <w:t xml:space="preserve"> </w:t>
      </w:r>
      <w:r w:rsidR="00185395" w:rsidRPr="00FD61FD">
        <w:t>расход</w:t>
      </w:r>
      <w:r w:rsidR="000E00A3" w:rsidRPr="00FD61FD">
        <w:t>ы</w:t>
      </w:r>
      <w:r w:rsidR="00185395" w:rsidRPr="00FD61FD">
        <w:t xml:space="preserve"> – в сумме </w:t>
      </w:r>
      <w:r w:rsidR="0020689A">
        <w:t>1</w:t>
      </w:r>
      <w:r w:rsidR="009B6EF3">
        <w:t>137365,58</w:t>
      </w:r>
      <w:r w:rsidR="00185395" w:rsidRPr="00FD61FD">
        <w:t xml:space="preserve"> тыс. руб</w:t>
      </w:r>
      <w:r w:rsidR="000E00A3" w:rsidRPr="00FD61FD">
        <w:t>.</w:t>
      </w:r>
      <w:r w:rsidR="00185395" w:rsidRPr="00FD61FD">
        <w:t xml:space="preserve">, </w:t>
      </w:r>
    </w:p>
    <w:p w:rsidR="007A70C8" w:rsidRDefault="00080245" w:rsidP="0032496D">
      <w:pPr>
        <w:jc w:val="both"/>
      </w:pPr>
      <w:r w:rsidRPr="00FD61FD">
        <w:t xml:space="preserve">        </w:t>
      </w:r>
      <w:r w:rsidR="00021994" w:rsidRPr="00FD61FD">
        <w:t xml:space="preserve"> </w:t>
      </w:r>
      <w:r w:rsidR="00551C06" w:rsidRPr="00FD61FD">
        <w:t>-</w:t>
      </w:r>
      <w:r w:rsidR="00021994" w:rsidRPr="00FD61FD">
        <w:t xml:space="preserve"> </w:t>
      </w:r>
      <w:r w:rsidR="000E00A3" w:rsidRPr="00FD61FD">
        <w:t>де</w:t>
      </w:r>
      <w:r w:rsidR="00185395" w:rsidRPr="00FD61FD">
        <w:t>фицит бюджета</w:t>
      </w:r>
      <w:r w:rsidR="00185395" w:rsidRPr="00FD61FD">
        <w:rPr>
          <w:i/>
        </w:rPr>
        <w:t xml:space="preserve"> - </w:t>
      </w:r>
      <w:r w:rsidR="00185395" w:rsidRPr="00FD61FD">
        <w:t>в сумме</w:t>
      </w:r>
      <w:r w:rsidR="00185395" w:rsidRPr="00FD61FD">
        <w:rPr>
          <w:i/>
        </w:rPr>
        <w:t xml:space="preserve"> </w:t>
      </w:r>
      <w:r w:rsidR="0020689A">
        <w:t xml:space="preserve">16600 </w:t>
      </w:r>
      <w:r w:rsidR="00185395" w:rsidRPr="00FD61FD">
        <w:t>тыс. руб</w:t>
      </w:r>
      <w:r w:rsidR="000E00A3" w:rsidRPr="00FD61FD">
        <w:t>.</w:t>
      </w:r>
    </w:p>
    <w:p w:rsidR="009B6EF3" w:rsidRDefault="009B6EF3" w:rsidP="004970C8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За 1 квартал 2020 года было внесено </w:t>
      </w:r>
      <w:r w:rsidR="00C85CAA">
        <w:rPr>
          <w:color w:val="000000"/>
        </w:rPr>
        <w:t xml:space="preserve">одно </w:t>
      </w:r>
      <w:r>
        <w:rPr>
          <w:color w:val="000000"/>
        </w:rPr>
        <w:t xml:space="preserve">изменение в </w:t>
      </w:r>
      <w:r w:rsidR="00660827">
        <w:rPr>
          <w:color w:val="000000"/>
        </w:rPr>
        <w:t xml:space="preserve">решение о </w:t>
      </w:r>
      <w:r>
        <w:rPr>
          <w:color w:val="000000"/>
        </w:rPr>
        <w:t>бюджет</w:t>
      </w:r>
      <w:r w:rsidR="00A86A3D">
        <w:rPr>
          <w:color w:val="000000"/>
        </w:rPr>
        <w:t>е</w:t>
      </w:r>
      <w:r w:rsidR="00660827" w:rsidRPr="00660827">
        <w:rPr>
          <w:color w:val="000000"/>
        </w:rPr>
        <w:t xml:space="preserve"> (</w:t>
      </w:r>
      <w:r w:rsidR="00660827">
        <w:rPr>
          <w:color w:val="000000"/>
        </w:rPr>
        <w:t>от 19.02.2020 №146-НПА</w:t>
      </w:r>
      <w:r w:rsidR="00660827" w:rsidRPr="00660827">
        <w:rPr>
          <w:color w:val="000000"/>
        </w:rPr>
        <w:t>)</w:t>
      </w:r>
      <w:r>
        <w:rPr>
          <w:color w:val="000000"/>
        </w:rPr>
        <w:t xml:space="preserve">, </w:t>
      </w:r>
      <w:r w:rsidR="00660827">
        <w:rPr>
          <w:color w:val="000000"/>
        </w:rPr>
        <w:t xml:space="preserve">с изменением </w:t>
      </w:r>
      <w:r>
        <w:rPr>
          <w:color w:val="000000"/>
        </w:rPr>
        <w:t>основны</w:t>
      </w:r>
      <w:r w:rsidR="00660827">
        <w:rPr>
          <w:color w:val="000000"/>
        </w:rPr>
        <w:t>х</w:t>
      </w:r>
      <w:r>
        <w:rPr>
          <w:color w:val="000000"/>
        </w:rPr>
        <w:t xml:space="preserve"> характеристик</w:t>
      </w:r>
      <w:r w:rsidR="00660827">
        <w:rPr>
          <w:color w:val="000000"/>
        </w:rPr>
        <w:t xml:space="preserve"> на 2020 год</w:t>
      </w:r>
      <w:r w:rsidR="00660827" w:rsidRPr="00660827">
        <w:rPr>
          <w:color w:val="000000"/>
        </w:rPr>
        <w:t>:</w:t>
      </w:r>
      <w:r>
        <w:rPr>
          <w:color w:val="000000"/>
        </w:rPr>
        <w:t xml:space="preserve"> </w:t>
      </w:r>
    </w:p>
    <w:p w:rsidR="00660827" w:rsidRPr="00FD61FD" w:rsidRDefault="00660827" w:rsidP="00660827">
      <w:pPr>
        <w:jc w:val="both"/>
      </w:pPr>
      <w:r>
        <w:t xml:space="preserve">         - </w:t>
      </w:r>
      <w:r w:rsidRPr="00A47F28">
        <w:t>доходы</w:t>
      </w:r>
      <w:r w:rsidRPr="00246DD1">
        <w:rPr>
          <w:b/>
        </w:rPr>
        <w:t xml:space="preserve">  –</w:t>
      </w:r>
      <w:r w:rsidRPr="00246DD1">
        <w:t xml:space="preserve"> в сумме </w:t>
      </w:r>
      <w:r>
        <w:t>1202070,09</w:t>
      </w:r>
      <w:r w:rsidRPr="00FD61FD">
        <w:t xml:space="preserve">  тыс. руб., </w:t>
      </w:r>
    </w:p>
    <w:p w:rsidR="00660827" w:rsidRPr="00FD61FD" w:rsidRDefault="00660827" w:rsidP="00660827">
      <w:pPr>
        <w:jc w:val="both"/>
      </w:pPr>
      <w:r w:rsidRPr="00FD61FD">
        <w:t xml:space="preserve">         -  расходы – в сумме </w:t>
      </w:r>
      <w:r>
        <w:t>1218670,09</w:t>
      </w:r>
      <w:r w:rsidRPr="00FD61FD">
        <w:t xml:space="preserve"> тыс. руб., </w:t>
      </w:r>
    </w:p>
    <w:p w:rsidR="00660827" w:rsidRDefault="00660827" w:rsidP="00660827">
      <w:pPr>
        <w:jc w:val="both"/>
      </w:pPr>
      <w:r w:rsidRPr="00FD61FD">
        <w:t xml:space="preserve">         - дефицит бюджета</w:t>
      </w:r>
      <w:r w:rsidRPr="00FD61FD">
        <w:rPr>
          <w:i/>
        </w:rPr>
        <w:t xml:space="preserve"> - </w:t>
      </w:r>
      <w:r w:rsidRPr="00FD61FD">
        <w:t>в сумме</w:t>
      </w:r>
      <w:r w:rsidRPr="00FD61FD">
        <w:rPr>
          <w:i/>
        </w:rPr>
        <w:t xml:space="preserve"> </w:t>
      </w:r>
      <w:r>
        <w:t xml:space="preserve">16600 </w:t>
      </w:r>
      <w:r w:rsidRPr="00FD61FD">
        <w:t>тыс. руб.</w:t>
      </w:r>
    </w:p>
    <w:p w:rsidR="004970C8" w:rsidRPr="00B9158C" w:rsidRDefault="00660827" w:rsidP="004970C8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Согласно</w:t>
      </w:r>
      <w:proofErr w:type="gramEnd"/>
      <w:r>
        <w:rPr>
          <w:color w:val="000000"/>
        </w:rPr>
        <w:t xml:space="preserve"> представленного </w:t>
      </w:r>
      <w:r w:rsidR="004970C8">
        <w:rPr>
          <w:color w:val="000000"/>
        </w:rPr>
        <w:t>О</w:t>
      </w:r>
      <w:r w:rsidR="004970C8" w:rsidRPr="00B9158C">
        <w:rPr>
          <w:color w:val="000000"/>
        </w:rPr>
        <w:t>тчет</w:t>
      </w:r>
      <w:r>
        <w:rPr>
          <w:color w:val="000000"/>
        </w:rPr>
        <w:t>а</w:t>
      </w:r>
      <w:r w:rsidR="004970C8" w:rsidRPr="00B9158C">
        <w:rPr>
          <w:color w:val="000000"/>
        </w:rPr>
        <w:t xml:space="preserve"> об исполнении бюджета Лесозаводского  городского округа за 1 квартал 20</w:t>
      </w:r>
      <w:r>
        <w:rPr>
          <w:color w:val="000000"/>
        </w:rPr>
        <w:t>20</w:t>
      </w:r>
      <w:r w:rsidR="004970C8" w:rsidRPr="00B9158C">
        <w:rPr>
          <w:color w:val="000000"/>
        </w:rPr>
        <w:t xml:space="preserve"> года </w:t>
      </w:r>
      <w:r w:rsidR="004970C8">
        <w:rPr>
          <w:bCs/>
        </w:rPr>
        <w:t xml:space="preserve">плановые </w:t>
      </w:r>
      <w:r w:rsidR="004970C8" w:rsidRPr="00B9158C">
        <w:rPr>
          <w:bCs/>
        </w:rPr>
        <w:t>показатели бюджета</w:t>
      </w:r>
      <w:r w:rsidR="004970C8" w:rsidRPr="00B9158C">
        <w:rPr>
          <w:color w:val="000000"/>
        </w:rPr>
        <w:t xml:space="preserve"> на 20</w:t>
      </w:r>
      <w:r>
        <w:rPr>
          <w:color w:val="000000"/>
        </w:rPr>
        <w:t>20</w:t>
      </w:r>
      <w:r w:rsidR="004970C8" w:rsidRPr="00B9158C">
        <w:rPr>
          <w:color w:val="000000"/>
        </w:rPr>
        <w:t xml:space="preserve">  год</w:t>
      </w:r>
      <w:r w:rsidR="004970C8">
        <w:rPr>
          <w:bCs/>
        </w:rPr>
        <w:t xml:space="preserve"> </w:t>
      </w:r>
      <w:r w:rsidR="004970C8" w:rsidRPr="00B9158C">
        <w:rPr>
          <w:color w:val="000000"/>
        </w:rPr>
        <w:t>составили:</w:t>
      </w:r>
    </w:p>
    <w:p w:rsidR="004970C8" w:rsidRPr="004970C8" w:rsidRDefault="004970C8" w:rsidP="004970C8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A47F28">
        <w:rPr>
          <w:color w:val="000000"/>
        </w:rPr>
        <w:t>доходы</w:t>
      </w:r>
      <w:r w:rsidRPr="00B9158C">
        <w:rPr>
          <w:b/>
          <w:color w:val="000000"/>
        </w:rPr>
        <w:t xml:space="preserve"> </w:t>
      </w:r>
      <w:r>
        <w:rPr>
          <w:color w:val="000000"/>
        </w:rPr>
        <w:t xml:space="preserve"> в сумме</w:t>
      </w:r>
      <w:r w:rsidRPr="006E38B0">
        <w:rPr>
          <w:color w:val="000000"/>
        </w:rPr>
        <w:t xml:space="preserve"> </w:t>
      </w:r>
      <w:r w:rsidR="001C1351" w:rsidRPr="0033283E">
        <w:rPr>
          <w:b/>
          <w:color w:val="000000"/>
        </w:rPr>
        <w:t>1202070,09</w:t>
      </w:r>
      <w:r w:rsidRPr="004970C8">
        <w:t xml:space="preserve">  </w:t>
      </w:r>
      <w:r w:rsidRPr="004970C8">
        <w:rPr>
          <w:color w:val="000000"/>
        </w:rPr>
        <w:t xml:space="preserve">тыс. руб., </w:t>
      </w:r>
    </w:p>
    <w:p w:rsidR="004B7723" w:rsidRDefault="004970C8" w:rsidP="004B7723">
      <w:pPr>
        <w:pStyle w:val="a8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4970C8">
        <w:rPr>
          <w:color w:val="000000"/>
        </w:rPr>
        <w:t xml:space="preserve">- расходы в сумме </w:t>
      </w:r>
      <w:r w:rsidR="001C1351" w:rsidRPr="0033283E">
        <w:rPr>
          <w:b/>
          <w:color w:val="000000"/>
        </w:rPr>
        <w:t>1246603,97</w:t>
      </w:r>
      <w:r w:rsidRPr="004970C8">
        <w:rPr>
          <w:color w:val="000000"/>
          <w:lang w:eastAsia="en-US"/>
        </w:rPr>
        <w:t xml:space="preserve"> </w:t>
      </w:r>
      <w:r w:rsidRPr="004970C8">
        <w:rPr>
          <w:color w:val="000000"/>
        </w:rPr>
        <w:t>тыс.</w:t>
      </w:r>
      <w:r w:rsidR="001C1351">
        <w:rPr>
          <w:color w:val="000000"/>
        </w:rPr>
        <w:t xml:space="preserve"> </w:t>
      </w:r>
      <w:r w:rsidRPr="004970C8">
        <w:rPr>
          <w:color w:val="000000"/>
        </w:rPr>
        <w:t xml:space="preserve">руб., что </w:t>
      </w:r>
      <w:r w:rsidRPr="00CA7807">
        <w:rPr>
          <w:color w:val="000000"/>
          <w:lang w:eastAsia="en-US"/>
        </w:rPr>
        <w:t>превышает расходы, утвержденные решением о бюджете,</w:t>
      </w:r>
      <w:r w:rsidRPr="00CA7807">
        <w:t xml:space="preserve"> </w:t>
      </w:r>
      <w:r w:rsidRPr="00CA7807">
        <w:rPr>
          <w:color w:val="000000"/>
          <w:lang w:eastAsia="en-US"/>
        </w:rPr>
        <w:t xml:space="preserve">на  сумму </w:t>
      </w:r>
      <w:r w:rsidR="001C1351">
        <w:rPr>
          <w:color w:val="000000"/>
          <w:lang w:eastAsia="en-US"/>
        </w:rPr>
        <w:t>2</w:t>
      </w:r>
      <w:r w:rsidR="004B7723">
        <w:rPr>
          <w:color w:val="000000"/>
          <w:lang w:eastAsia="en-US"/>
        </w:rPr>
        <w:t>7</w:t>
      </w:r>
      <w:r w:rsidR="001C1351">
        <w:rPr>
          <w:color w:val="000000"/>
          <w:lang w:eastAsia="en-US"/>
        </w:rPr>
        <w:t>933,88</w:t>
      </w:r>
      <w:r w:rsidRPr="00CA7807">
        <w:rPr>
          <w:i/>
          <w:color w:val="000000"/>
          <w:lang w:eastAsia="en-US"/>
        </w:rPr>
        <w:t xml:space="preserve"> </w:t>
      </w:r>
      <w:r w:rsidRPr="00CA7807">
        <w:rPr>
          <w:color w:val="000000"/>
          <w:lang w:eastAsia="en-US"/>
        </w:rPr>
        <w:t xml:space="preserve"> тыс.</w:t>
      </w:r>
      <w:r w:rsidR="001C1351">
        <w:rPr>
          <w:color w:val="000000"/>
          <w:lang w:eastAsia="en-US"/>
        </w:rPr>
        <w:t xml:space="preserve"> </w:t>
      </w:r>
      <w:r w:rsidRPr="00CA7807">
        <w:rPr>
          <w:color w:val="000000"/>
          <w:lang w:eastAsia="en-US"/>
        </w:rPr>
        <w:t>руб.</w:t>
      </w:r>
    </w:p>
    <w:p w:rsidR="008809E0" w:rsidRPr="00283F2B" w:rsidRDefault="00283F2B" w:rsidP="004B7723">
      <w:pPr>
        <w:pStyle w:val="a8"/>
        <w:spacing w:before="0" w:beforeAutospacing="0" w:after="0" w:afterAutospacing="0"/>
        <w:ind w:firstLine="709"/>
        <w:jc w:val="both"/>
        <w:rPr>
          <w:lang w:eastAsia="en-US" w:bidi="en-US"/>
        </w:rPr>
      </w:pPr>
      <w:r w:rsidRPr="00D24117">
        <w:rPr>
          <w:rFonts w:eastAsia="SimSun"/>
          <w:lang w:eastAsia="zh-CN"/>
        </w:rPr>
        <w:t xml:space="preserve">На основании части 3 статьи 217 </w:t>
      </w:r>
      <w:r w:rsidRPr="00D24117">
        <w:t>Бюджетного кодекса</w:t>
      </w:r>
      <w:r w:rsidRPr="00D24117">
        <w:rPr>
          <w:rFonts w:eastAsia="SimSun"/>
          <w:lang w:eastAsia="zh-CN"/>
        </w:rPr>
        <w:t xml:space="preserve"> РФ</w:t>
      </w:r>
      <w:r w:rsidR="004970C8" w:rsidRPr="00D24117">
        <w:rPr>
          <w:rFonts w:eastAsia="SimSun"/>
          <w:lang w:eastAsia="zh-CN"/>
        </w:rPr>
        <w:t>,</w:t>
      </w:r>
      <w:r w:rsidR="004970C8" w:rsidRPr="00D24117">
        <w:rPr>
          <w:color w:val="000000"/>
          <w:lang w:eastAsia="en-US"/>
        </w:rPr>
        <w:t xml:space="preserve"> </w:t>
      </w:r>
      <w:r w:rsidR="004970C8" w:rsidRPr="00D24117">
        <w:t xml:space="preserve">без внесения изменений в решение о бюджете, </w:t>
      </w:r>
      <w:r w:rsidRPr="00D24117">
        <w:rPr>
          <w:rFonts w:eastAsia="SimSun"/>
          <w:lang w:eastAsia="zh-CN"/>
        </w:rPr>
        <w:t xml:space="preserve"> утвержденные решением о бюджете расходы </w:t>
      </w:r>
      <w:r w:rsidR="00D24117">
        <w:rPr>
          <w:rFonts w:eastAsia="SimSun"/>
          <w:lang w:eastAsia="zh-CN"/>
        </w:rPr>
        <w:t>ф</w:t>
      </w:r>
      <w:r w:rsidRPr="00D24117">
        <w:rPr>
          <w:color w:val="000000"/>
          <w:lang w:eastAsia="en-US"/>
        </w:rPr>
        <w:t>инансовым управлением</w:t>
      </w:r>
      <w:r w:rsidR="00207F9D" w:rsidRPr="00D24117">
        <w:t xml:space="preserve"> в сводной бюджетной</w:t>
      </w:r>
      <w:r w:rsidR="00207F9D" w:rsidRPr="00CA7807">
        <w:t xml:space="preserve"> росписи</w:t>
      </w:r>
      <w:r w:rsidR="00207F9D">
        <w:t xml:space="preserve"> на 01.04.20</w:t>
      </w:r>
      <w:r w:rsidR="00AB6A99">
        <w:t>20</w:t>
      </w:r>
      <w:r w:rsidRPr="004970C8">
        <w:rPr>
          <w:color w:val="000000"/>
          <w:lang w:eastAsia="en-US"/>
        </w:rPr>
        <w:t xml:space="preserve"> </w:t>
      </w:r>
      <w:r w:rsidRPr="004970C8">
        <w:rPr>
          <w:rFonts w:eastAsia="SimSun"/>
          <w:lang w:eastAsia="zh-CN"/>
        </w:rPr>
        <w:t>увеличен</w:t>
      </w:r>
      <w:r w:rsidR="00AB6A99">
        <w:rPr>
          <w:rFonts w:eastAsia="SimSun"/>
          <w:lang w:eastAsia="zh-CN"/>
        </w:rPr>
        <w:t>ы</w:t>
      </w:r>
      <w:r w:rsidR="00207F9D">
        <w:rPr>
          <w:rFonts w:eastAsia="SimSun"/>
          <w:lang w:eastAsia="zh-CN"/>
        </w:rPr>
        <w:t xml:space="preserve"> </w:t>
      </w:r>
      <w:r w:rsidR="00D24117">
        <w:rPr>
          <w:rFonts w:eastAsia="SimSun"/>
          <w:lang w:eastAsia="zh-CN"/>
        </w:rPr>
        <w:t>на 2</w:t>
      </w:r>
      <w:r w:rsidR="004B7723">
        <w:rPr>
          <w:rFonts w:eastAsia="SimSun"/>
          <w:lang w:eastAsia="zh-CN"/>
        </w:rPr>
        <w:t>7</w:t>
      </w:r>
      <w:r w:rsidR="00D24117">
        <w:rPr>
          <w:rFonts w:eastAsia="SimSun"/>
          <w:lang w:eastAsia="zh-CN"/>
        </w:rPr>
        <w:t xml:space="preserve">933,88 тыс. руб. </w:t>
      </w:r>
      <w:r w:rsidR="004970C8" w:rsidRPr="004970C8">
        <w:t>за счет межбюджетных трансфертов</w:t>
      </w:r>
      <w:r w:rsidR="00207F9D">
        <w:rPr>
          <w:color w:val="000000"/>
          <w:lang w:eastAsia="en-US"/>
        </w:rPr>
        <w:t xml:space="preserve">, </w:t>
      </w:r>
      <w:r w:rsidRPr="00283F2B">
        <w:rPr>
          <w:rFonts w:eastAsia="SimSun"/>
          <w:lang w:eastAsia="zh-CN"/>
        </w:rPr>
        <w:t xml:space="preserve"> в том числе:</w:t>
      </w:r>
    </w:p>
    <w:p w:rsidR="00E60FE0" w:rsidRDefault="008809E0" w:rsidP="008809E0">
      <w:pPr>
        <w:pStyle w:val="a8"/>
        <w:spacing w:before="0" w:beforeAutospacing="0" w:after="0" w:afterAutospacing="0"/>
        <w:jc w:val="both"/>
      </w:pPr>
      <w:r w:rsidRPr="00207F9D">
        <w:t xml:space="preserve">       </w:t>
      </w:r>
      <w:r w:rsidR="00283F2B" w:rsidRPr="00207F9D">
        <w:t xml:space="preserve"> </w:t>
      </w:r>
      <w:r w:rsidRPr="00207F9D">
        <w:t xml:space="preserve"> </w:t>
      </w:r>
      <w:r w:rsidR="00283F2B" w:rsidRPr="00207F9D">
        <w:t xml:space="preserve"> </w:t>
      </w:r>
      <w:r w:rsidR="00D24117">
        <w:t xml:space="preserve">(-)543,95 тыс. руб. – уменьшение субвенций </w:t>
      </w:r>
      <w:r w:rsidR="00E60FE0">
        <w:t>на организацию и обеспечение оздоровления детей,</w:t>
      </w:r>
    </w:p>
    <w:p w:rsidR="00D61808" w:rsidRDefault="00D61808" w:rsidP="00D61808">
      <w:pPr>
        <w:pStyle w:val="a8"/>
        <w:spacing w:before="0" w:beforeAutospacing="0" w:after="0" w:afterAutospacing="0"/>
        <w:ind w:firstLine="708"/>
        <w:jc w:val="both"/>
      </w:pPr>
      <w:r>
        <w:t xml:space="preserve">(-)101,52 тыс. руб. – </w:t>
      </w:r>
      <w:r w:rsidR="00BB71CE">
        <w:t xml:space="preserve">сокращены </w:t>
      </w:r>
      <w:r>
        <w:t>субвенции, предоставляемые при осуществлении деятельности по обращению с животными без владельцев,</w:t>
      </w:r>
    </w:p>
    <w:p w:rsidR="00BB71CE" w:rsidRDefault="00E60FE0" w:rsidP="008809E0">
      <w:pPr>
        <w:pStyle w:val="a8"/>
        <w:spacing w:before="0" w:beforeAutospacing="0" w:after="0" w:afterAutospacing="0"/>
        <w:jc w:val="both"/>
      </w:pPr>
      <w:r>
        <w:tab/>
      </w:r>
      <w:r w:rsidR="00BB71CE">
        <w:t xml:space="preserve">(-)11000 тыс. руб. </w:t>
      </w:r>
      <w:r w:rsidR="00891C6C">
        <w:t>–</w:t>
      </w:r>
      <w:r w:rsidR="00BB71CE">
        <w:t xml:space="preserve"> </w:t>
      </w:r>
      <w:r w:rsidR="00BB71CE" w:rsidRPr="00BB71CE">
        <w:t>сокращен</w:t>
      </w:r>
      <w:r w:rsidR="00891C6C">
        <w:t>ы</w:t>
      </w:r>
      <w:r w:rsidR="00BB71CE" w:rsidRPr="00BB71CE">
        <w:t xml:space="preserve"> </w:t>
      </w:r>
      <w:r w:rsidR="008F4F28">
        <w:t xml:space="preserve">в полном объеме </w:t>
      </w:r>
      <w:r w:rsidR="00BB71CE" w:rsidRPr="00BB71CE">
        <w:t>субсидии  на проектирование и (или) строительство, реконструкцию, модернизацию и капитальный ремонт объектов водопровод</w:t>
      </w:r>
      <w:r w:rsidR="00EC3317">
        <w:t>но-канализационного хозяйства,</w:t>
      </w:r>
    </w:p>
    <w:p w:rsidR="00EC3317" w:rsidRDefault="00EC3317" w:rsidP="00C67746">
      <w:pPr>
        <w:autoSpaceDE w:val="0"/>
        <w:autoSpaceDN w:val="0"/>
        <w:adjustRightInd w:val="0"/>
        <w:jc w:val="both"/>
        <w:rPr>
          <w:color w:val="000000"/>
        </w:rPr>
      </w:pPr>
      <w:r>
        <w:tab/>
        <w:t>(-)1175,98 тыс. руб. - уменьшены</w:t>
      </w:r>
      <w:r w:rsidRPr="00CD2A14">
        <w:t xml:space="preserve"> краевые субсидии</w:t>
      </w:r>
      <w:r w:rsidRPr="00CD2A14">
        <w:rPr>
          <w:rFonts w:eastAsia="Calibri"/>
        </w:rPr>
        <w:t xml:space="preserve"> по программе </w:t>
      </w:r>
      <w:r w:rsidRPr="00CD2A14">
        <w:rPr>
          <w:color w:val="000000"/>
        </w:rPr>
        <w:t>"Формирование современной городской среды на территории Ле</w:t>
      </w:r>
      <w:r>
        <w:rPr>
          <w:color w:val="000000"/>
        </w:rPr>
        <w:t>созаводского городского округа",</w:t>
      </w:r>
    </w:p>
    <w:p w:rsidR="00C85CAA" w:rsidRDefault="00C85CAA" w:rsidP="00C85CAA">
      <w:pPr>
        <w:pStyle w:val="a8"/>
        <w:spacing w:before="0" w:beforeAutospacing="0" w:after="0" w:afterAutospacing="0"/>
        <w:jc w:val="both"/>
      </w:pPr>
      <w:r>
        <w:rPr>
          <w:color w:val="000000"/>
        </w:rPr>
        <w:tab/>
      </w:r>
      <w:r>
        <w:t>+5042,37 тыс. руб. – иные межбюджетные трансферты на оказание содействия в подготовке проведения общероссийского голосования,</w:t>
      </w:r>
    </w:p>
    <w:p w:rsidR="00891C6C" w:rsidRDefault="002E7747" w:rsidP="008809E0">
      <w:pPr>
        <w:pStyle w:val="a8"/>
        <w:spacing w:before="0" w:beforeAutospacing="0" w:after="0" w:afterAutospacing="0"/>
        <w:jc w:val="both"/>
      </w:pPr>
      <w:r>
        <w:tab/>
        <w:t xml:space="preserve">+366,06 тыс. руб. - </w:t>
      </w:r>
      <w:r w:rsidRPr="002E7747">
        <w:t>увеличен объем краевой субсидии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891C6C">
        <w:t>,</w:t>
      </w:r>
    </w:p>
    <w:p w:rsidR="00EC3317" w:rsidRDefault="00891C6C" w:rsidP="00891C6C">
      <w:pPr>
        <w:pStyle w:val="a8"/>
        <w:spacing w:before="0" w:beforeAutospacing="0" w:after="0" w:afterAutospacing="0"/>
        <w:ind w:firstLine="708"/>
        <w:jc w:val="both"/>
      </w:pPr>
      <w:r>
        <w:lastRenderedPageBreak/>
        <w:t>+312 тыс. руб</w:t>
      </w:r>
      <w:r w:rsidR="002E7747" w:rsidRPr="002E7747">
        <w:t>.</w:t>
      </w:r>
      <w:r>
        <w:t xml:space="preserve"> - </w:t>
      </w:r>
      <w:r w:rsidRPr="00891C6C">
        <w:t>субсиди</w:t>
      </w:r>
      <w:r>
        <w:t>я</w:t>
      </w:r>
      <w:r w:rsidRPr="00891C6C">
        <w:t xml:space="preserve"> на организацию физкультурно-спортивной работы по месту жительства</w:t>
      </w:r>
      <w:r>
        <w:t>,</w:t>
      </w:r>
    </w:p>
    <w:p w:rsidR="00C67746" w:rsidRPr="00CD2A14" w:rsidRDefault="00891C6C" w:rsidP="00C67746">
      <w:pPr>
        <w:autoSpaceDE w:val="0"/>
        <w:autoSpaceDN w:val="0"/>
        <w:adjustRightInd w:val="0"/>
        <w:jc w:val="both"/>
        <w:rPr>
          <w:color w:val="000000"/>
        </w:rPr>
      </w:pPr>
      <w:r>
        <w:tab/>
        <w:t>+</w:t>
      </w:r>
      <w:r w:rsidR="007F4D34">
        <w:t xml:space="preserve">35034,88 тыс. руб. – </w:t>
      </w:r>
      <w:r w:rsidR="00C67746">
        <w:t xml:space="preserve">за счет </w:t>
      </w:r>
      <w:r w:rsidR="007F4D34">
        <w:t>увеличени</w:t>
      </w:r>
      <w:r w:rsidR="00C67746">
        <w:t>я</w:t>
      </w:r>
      <w:r w:rsidR="007F4D34">
        <w:t xml:space="preserve"> </w:t>
      </w:r>
      <w:r w:rsidR="00C67746">
        <w:t xml:space="preserve">субсидии </w:t>
      </w:r>
      <w:r w:rsidR="00C67746" w:rsidRPr="00CD2A14">
        <w:rPr>
          <w:color w:val="000000"/>
        </w:rPr>
        <w:t xml:space="preserve">на мероприятия </w:t>
      </w:r>
      <w:r w:rsidR="00C67746" w:rsidRPr="00CD2A14">
        <w:rPr>
          <w:rFonts w:eastAsia="Calibri"/>
        </w:rPr>
        <w:t xml:space="preserve">по переселению </w:t>
      </w:r>
      <w:r w:rsidR="00C67746">
        <w:rPr>
          <w:rFonts w:eastAsia="Calibri"/>
        </w:rPr>
        <w:t xml:space="preserve">из </w:t>
      </w:r>
      <w:r w:rsidR="00C67746" w:rsidRPr="00CD2A14">
        <w:rPr>
          <w:rFonts w:eastAsia="Calibri"/>
        </w:rPr>
        <w:t>Фонда содействия реформированию жилищно-коммунального хозяйства (+</w:t>
      </w:r>
      <w:r w:rsidR="00C67746">
        <w:rPr>
          <w:rFonts w:eastAsia="Calibri"/>
        </w:rPr>
        <w:t>35893,9</w:t>
      </w:r>
      <w:r w:rsidR="00C67746" w:rsidRPr="00CD2A14">
        <w:rPr>
          <w:rFonts w:eastAsia="Calibri"/>
        </w:rPr>
        <w:t xml:space="preserve"> </w:t>
      </w:r>
      <w:proofErr w:type="spellStart"/>
      <w:r w:rsidR="00C67746" w:rsidRPr="00CD2A14">
        <w:rPr>
          <w:rFonts w:eastAsia="Calibri"/>
        </w:rPr>
        <w:t>тыс</w:t>
      </w:r>
      <w:proofErr w:type="gramStart"/>
      <w:r w:rsidR="00C67746" w:rsidRPr="00CD2A14">
        <w:rPr>
          <w:rFonts w:eastAsia="Calibri"/>
        </w:rPr>
        <w:t>.р</w:t>
      </w:r>
      <w:proofErr w:type="gramEnd"/>
      <w:r w:rsidR="00C67746" w:rsidRPr="00CD2A14">
        <w:rPr>
          <w:rFonts w:eastAsia="Calibri"/>
        </w:rPr>
        <w:t>уб</w:t>
      </w:r>
      <w:proofErr w:type="spellEnd"/>
      <w:r w:rsidR="00C67746" w:rsidRPr="00CD2A14">
        <w:rPr>
          <w:rFonts w:eastAsia="Calibri"/>
        </w:rPr>
        <w:t>.)  краевого бюджета (-</w:t>
      </w:r>
      <w:r w:rsidR="00C67746">
        <w:rPr>
          <w:rFonts w:eastAsia="Calibri"/>
        </w:rPr>
        <w:t>859,05</w:t>
      </w:r>
      <w:r w:rsidR="00C67746" w:rsidRPr="00CD2A14">
        <w:rPr>
          <w:rFonts w:eastAsia="Calibri"/>
        </w:rPr>
        <w:t xml:space="preserve"> </w:t>
      </w:r>
      <w:proofErr w:type="spellStart"/>
      <w:r w:rsidR="00C67746" w:rsidRPr="00CD2A14">
        <w:rPr>
          <w:rFonts w:eastAsia="Calibri"/>
        </w:rPr>
        <w:t>тыс.руб</w:t>
      </w:r>
      <w:proofErr w:type="spellEnd"/>
      <w:r w:rsidR="00C67746" w:rsidRPr="00CD2A14">
        <w:rPr>
          <w:rFonts w:eastAsia="Calibri"/>
        </w:rPr>
        <w:t>.</w:t>
      </w:r>
      <w:r w:rsidR="00A92E83">
        <w:rPr>
          <w:rFonts w:eastAsia="Calibri"/>
        </w:rPr>
        <w:t>).</w:t>
      </w:r>
      <w:r w:rsidR="00C67746" w:rsidRPr="00CD2A14">
        <w:rPr>
          <w:color w:val="000000"/>
        </w:rPr>
        <w:t xml:space="preserve">  </w:t>
      </w:r>
      <w:r w:rsidR="00C67746" w:rsidRPr="00CD2A14">
        <w:t xml:space="preserve"> </w:t>
      </w:r>
    </w:p>
    <w:p w:rsidR="007F4D34" w:rsidRDefault="007F4D34" w:rsidP="007F4D34">
      <w:pPr>
        <w:pStyle w:val="a8"/>
        <w:spacing w:before="0" w:beforeAutospacing="0" w:after="0" w:afterAutospacing="0"/>
        <w:ind w:firstLine="708"/>
        <w:jc w:val="both"/>
      </w:pPr>
      <w:r>
        <w:t xml:space="preserve">Изменения </w:t>
      </w:r>
      <w:r w:rsidR="00C85CAA">
        <w:t>на</w:t>
      </w:r>
      <w:r>
        <w:t xml:space="preserve"> сумм</w:t>
      </w:r>
      <w:r w:rsidR="00C85CAA">
        <w:t>у</w:t>
      </w:r>
      <w:r>
        <w:t xml:space="preserve"> </w:t>
      </w:r>
      <w:r w:rsidR="00C85CAA">
        <w:t>14861,4 тыс. руб.</w:t>
      </w:r>
      <w:r>
        <w:t xml:space="preserve"> </w:t>
      </w:r>
      <w:r w:rsidRPr="007F4D34">
        <w:t xml:space="preserve">внесены </w:t>
      </w:r>
      <w:r>
        <w:t xml:space="preserve">в бюджет </w:t>
      </w:r>
      <w:r w:rsidRPr="007F4D34">
        <w:t xml:space="preserve">решением Думы Лесозаводского городского округа от </w:t>
      </w:r>
      <w:r>
        <w:t>27</w:t>
      </w:r>
      <w:r w:rsidRPr="007F4D34">
        <w:t>.04.20</w:t>
      </w:r>
      <w:r>
        <w:t>20</w:t>
      </w:r>
      <w:r w:rsidRPr="007F4D34">
        <w:t xml:space="preserve"> №</w:t>
      </w:r>
      <w:r>
        <w:t>162</w:t>
      </w:r>
      <w:r w:rsidRPr="007F4D34">
        <w:t>-НПА.</w:t>
      </w:r>
    </w:p>
    <w:p w:rsidR="00BB71CE" w:rsidRDefault="001E2D5D" w:rsidP="008809E0">
      <w:pPr>
        <w:pStyle w:val="a8"/>
        <w:spacing w:before="0" w:beforeAutospacing="0" w:after="0" w:afterAutospacing="0"/>
        <w:jc w:val="both"/>
      </w:pPr>
      <w:r>
        <w:tab/>
      </w:r>
    </w:p>
    <w:p w:rsidR="002D7FE5" w:rsidRPr="00B9158C" w:rsidRDefault="002D7FE5" w:rsidP="002D7FE5">
      <w:pPr>
        <w:widowControl w:val="0"/>
        <w:ind w:firstLine="567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Pr="00B9158C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Pr="00782F4A">
        <w:rPr>
          <w:bCs/>
        </w:rPr>
        <w:t xml:space="preserve"> основных показателей бюджета Лесозаводского городского округа  </w:t>
      </w:r>
      <w:r w:rsidR="00BF1B4C" w:rsidRPr="00BA156A">
        <w:rPr>
          <w:rFonts w:eastAsia="Calibri"/>
        </w:rPr>
        <w:t>за январь –</w:t>
      </w:r>
      <w:r w:rsidR="00BF1B4C">
        <w:rPr>
          <w:rFonts w:eastAsia="Calibri"/>
        </w:rPr>
        <w:t xml:space="preserve"> март</w:t>
      </w:r>
      <w:r w:rsidR="00BF1B4C" w:rsidRPr="00BA156A">
        <w:rPr>
          <w:rFonts w:eastAsia="Calibri"/>
        </w:rPr>
        <w:t xml:space="preserve"> 20</w:t>
      </w:r>
      <w:r w:rsidR="001E2D5D">
        <w:rPr>
          <w:rFonts w:eastAsia="Calibri"/>
        </w:rPr>
        <w:t>20</w:t>
      </w:r>
      <w:r w:rsidR="00BF1B4C" w:rsidRPr="00BA156A">
        <w:rPr>
          <w:rFonts w:eastAsia="Calibri"/>
        </w:rPr>
        <w:t> года</w:t>
      </w:r>
      <w:r w:rsidR="00BF1B4C" w:rsidRPr="00B80C02">
        <w:rPr>
          <w:rFonts w:eastAsia="Calibri"/>
        </w:rPr>
        <w:t xml:space="preserve"> </w:t>
      </w:r>
      <w:r w:rsidRPr="00B9158C">
        <w:rPr>
          <w:rFonts w:cs="Verdana"/>
          <w:bCs/>
        </w:rPr>
        <w:t>представлен</w:t>
      </w:r>
      <w:r>
        <w:rPr>
          <w:rFonts w:cs="Verdana"/>
          <w:bCs/>
        </w:rPr>
        <w:t>о</w:t>
      </w:r>
      <w:r w:rsidRPr="00B9158C">
        <w:rPr>
          <w:rFonts w:cs="Verdana"/>
          <w:bCs/>
        </w:rPr>
        <w:t xml:space="preserve"> в таблице (тыс. руб</w:t>
      </w:r>
      <w:r w:rsidRPr="00782F4A">
        <w:rPr>
          <w:rFonts w:cs="Verdana"/>
          <w:bCs/>
        </w:rPr>
        <w:t>.</w:t>
      </w:r>
      <w:r w:rsidRPr="00B9158C">
        <w:rPr>
          <w:rFonts w:cs="Verdana"/>
          <w:bCs/>
        </w:rPr>
        <w:t>):</w:t>
      </w:r>
    </w:p>
    <w:tbl>
      <w:tblPr>
        <w:tblpPr w:leftFromText="180" w:rightFromText="180" w:vertAnchor="text" w:horzAnchor="margin" w:tblpXSpec="center" w:tblpY="211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418"/>
        <w:gridCol w:w="1701"/>
        <w:gridCol w:w="1571"/>
        <w:gridCol w:w="1689"/>
        <w:gridCol w:w="1134"/>
        <w:gridCol w:w="283"/>
      </w:tblGrid>
      <w:tr w:rsidR="00174DF6" w:rsidRPr="00D51E4F" w:rsidTr="00312A4B">
        <w:trPr>
          <w:trHeight w:val="10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174DF6" w:rsidP="00B9158C">
            <w:pPr>
              <w:jc w:val="center"/>
              <w:rPr>
                <w:bCs/>
                <w:sz w:val="20"/>
                <w:szCs w:val="20"/>
              </w:rPr>
            </w:pPr>
            <w:r w:rsidRPr="00D51E4F">
              <w:rPr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4DF6" w:rsidRPr="00D51E4F" w:rsidRDefault="00174DF6" w:rsidP="001E39E6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 xml:space="preserve">Утверждено решением о бюджете </w:t>
            </w:r>
          </w:p>
          <w:p w:rsidR="00174DF6" w:rsidRPr="00D51E4F" w:rsidRDefault="00174DF6" w:rsidP="001E2D5D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>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F6" w:rsidRPr="00D51E4F" w:rsidRDefault="00174DF6" w:rsidP="00A92E83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 xml:space="preserve"> Сводная бюджетная роспись на 2020 год (уточненный план)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F6" w:rsidRPr="00D51E4F" w:rsidRDefault="00174DF6" w:rsidP="00B9158C">
            <w:pPr>
              <w:jc w:val="center"/>
              <w:rPr>
                <w:bCs/>
                <w:sz w:val="18"/>
                <w:szCs w:val="18"/>
              </w:rPr>
            </w:pPr>
          </w:p>
          <w:p w:rsidR="00174DF6" w:rsidRPr="00D51E4F" w:rsidRDefault="00174DF6" w:rsidP="00B9158C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>Отклонение (гр.3-гр.2)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F6" w:rsidRPr="00D51E4F" w:rsidRDefault="00174DF6" w:rsidP="00B9158C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>Исполнено за 1 квартал</w:t>
            </w:r>
          </w:p>
          <w:p w:rsidR="00174DF6" w:rsidRPr="00D51E4F" w:rsidRDefault="00174DF6" w:rsidP="00A92E83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>2020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F6" w:rsidRPr="00D51E4F" w:rsidRDefault="00174DF6" w:rsidP="00B9158C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>% исполнения от уточненного плана</w:t>
            </w:r>
          </w:p>
        </w:tc>
      </w:tr>
      <w:tr w:rsidR="00174DF6" w:rsidRPr="00D51E4F" w:rsidTr="00312A4B">
        <w:trPr>
          <w:trHeight w:val="3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F6" w:rsidRPr="00D51E4F" w:rsidRDefault="00174DF6" w:rsidP="00B9158C">
            <w:pPr>
              <w:jc w:val="center"/>
              <w:rPr>
                <w:bCs/>
                <w:sz w:val="20"/>
                <w:szCs w:val="20"/>
              </w:rPr>
            </w:pPr>
            <w:r w:rsidRPr="00D51E4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4DF6" w:rsidRPr="00D51E4F" w:rsidRDefault="00174DF6" w:rsidP="00B9158C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 xml:space="preserve"> 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F6" w:rsidRPr="00D51E4F" w:rsidRDefault="00174DF6" w:rsidP="00B9158C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F6" w:rsidRPr="00D51E4F" w:rsidRDefault="00174DF6" w:rsidP="00B9158C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F6" w:rsidRPr="00D51E4F" w:rsidRDefault="00174DF6" w:rsidP="00B9158C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F6" w:rsidRPr="00D51E4F" w:rsidRDefault="00174DF6" w:rsidP="00174DF6">
            <w:pPr>
              <w:jc w:val="center"/>
              <w:rPr>
                <w:bCs/>
                <w:sz w:val="18"/>
                <w:szCs w:val="18"/>
              </w:rPr>
            </w:pPr>
            <w:r w:rsidRPr="00D51E4F">
              <w:rPr>
                <w:bCs/>
                <w:sz w:val="18"/>
                <w:szCs w:val="18"/>
              </w:rPr>
              <w:t>6</w:t>
            </w:r>
          </w:p>
        </w:tc>
      </w:tr>
      <w:tr w:rsidR="00174DF6" w:rsidRPr="00D51E4F" w:rsidTr="00312A4B">
        <w:trPr>
          <w:trHeight w:val="38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F6" w:rsidRPr="00D51E4F" w:rsidRDefault="00174DF6" w:rsidP="00174DF6">
            <w:r w:rsidRPr="00D51E4F">
              <w:rPr>
                <w:sz w:val="22"/>
                <w:szCs w:val="22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174DF6" w:rsidP="00312A4B">
            <w:pPr>
              <w:jc w:val="right"/>
            </w:pPr>
            <w:r w:rsidRPr="00D51E4F">
              <w:t>1202070,09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174DF6" w:rsidP="00312A4B">
            <w:pPr>
              <w:jc w:val="right"/>
            </w:pPr>
            <w:r w:rsidRPr="00D51E4F">
              <w:t>1202070,09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F6" w:rsidRPr="00D51E4F" w:rsidRDefault="00174DF6" w:rsidP="00312A4B">
            <w:pPr>
              <w:jc w:val="right"/>
            </w:pPr>
            <w:r w:rsidRPr="00D51E4F">
              <w:t>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174DF6" w:rsidP="00312A4B">
            <w:pPr>
              <w:jc w:val="right"/>
            </w:pPr>
            <w:r w:rsidRPr="00D51E4F">
              <w:t>262903,4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312A4B" w:rsidP="00312A4B">
            <w:pPr>
              <w:jc w:val="right"/>
            </w:pPr>
            <w:r w:rsidRPr="00D51E4F">
              <w:t>21,9</w:t>
            </w:r>
          </w:p>
        </w:tc>
      </w:tr>
      <w:tr w:rsidR="00174DF6" w:rsidRPr="00D51E4F" w:rsidTr="00312A4B">
        <w:trPr>
          <w:trHeight w:val="39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F6" w:rsidRPr="00D51E4F" w:rsidRDefault="00174DF6" w:rsidP="00525879">
            <w:r w:rsidRPr="00D51E4F">
              <w:rPr>
                <w:sz w:val="22"/>
                <w:szCs w:val="22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174DF6" w:rsidP="00312A4B">
            <w:pPr>
              <w:jc w:val="right"/>
            </w:pPr>
            <w:r w:rsidRPr="00D51E4F">
              <w:t>1218670,09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174DF6" w:rsidP="00312A4B">
            <w:pPr>
              <w:jc w:val="right"/>
            </w:pPr>
            <w:r w:rsidRPr="00D51E4F">
              <w:t>1246603,97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F6" w:rsidRPr="00D51E4F" w:rsidRDefault="00174DF6" w:rsidP="00312A4B">
            <w:pPr>
              <w:jc w:val="right"/>
            </w:pPr>
            <w:r w:rsidRPr="00D51E4F">
              <w:t>+27933,88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312A4B" w:rsidP="00312A4B">
            <w:pPr>
              <w:jc w:val="right"/>
            </w:pPr>
            <w:r w:rsidRPr="00D51E4F">
              <w:t>271005,5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312A4B" w:rsidP="00312A4B">
            <w:pPr>
              <w:jc w:val="right"/>
            </w:pPr>
            <w:r w:rsidRPr="00D51E4F">
              <w:t>21,7</w:t>
            </w:r>
          </w:p>
        </w:tc>
      </w:tr>
      <w:tr w:rsidR="00174DF6" w:rsidRPr="00D51E4F" w:rsidTr="00312A4B">
        <w:trPr>
          <w:trHeight w:val="3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F6" w:rsidRPr="00D51E4F" w:rsidRDefault="00174DF6" w:rsidP="00387EF1">
            <w:r w:rsidRPr="00D51E4F">
              <w:rPr>
                <w:sz w:val="22"/>
                <w:szCs w:val="22"/>
              </w:rPr>
              <w:t>Дефицит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174DF6" w:rsidP="00312A4B">
            <w:pPr>
              <w:jc w:val="right"/>
            </w:pPr>
            <w:r w:rsidRPr="00D51E4F">
              <w:t>16600</w:t>
            </w:r>
            <w:r w:rsidR="00312A4B" w:rsidRPr="00D51E4F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174DF6" w:rsidP="00312A4B">
            <w:pPr>
              <w:jc w:val="right"/>
            </w:pPr>
            <w:r w:rsidRPr="00D51E4F">
              <w:t>16600</w:t>
            </w:r>
            <w:r w:rsidR="00312A4B" w:rsidRPr="00D51E4F">
              <w:t>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F6" w:rsidRPr="00D51E4F" w:rsidRDefault="00174DF6" w:rsidP="00312A4B">
            <w:pPr>
              <w:jc w:val="right"/>
            </w:pPr>
            <w:r w:rsidRPr="00D51E4F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312A4B" w:rsidP="00312A4B">
            <w:pPr>
              <w:jc w:val="right"/>
            </w:pPr>
            <w:r w:rsidRPr="00D51E4F">
              <w:t>8102,1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F6" w:rsidRPr="00D51E4F" w:rsidRDefault="00312A4B" w:rsidP="00312A4B">
            <w:pPr>
              <w:jc w:val="right"/>
            </w:pPr>
            <w:r w:rsidRPr="00D51E4F">
              <w:t>48,8</w:t>
            </w:r>
          </w:p>
        </w:tc>
      </w:tr>
      <w:tr w:rsidR="00283F2B" w:rsidRPr="00D51E4F" w:rsidTr="00312A4B">
        <w:trPr>
          <w:trHeight w:val="33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F2B" w:rsidRPr="00D51E4F" w:rsidRDefault="00283F2B" w:rsidP="00387EF1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D51E4F" w:rsidRDefault="00283F2B" w:rsidP="00387EF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D51E4F" w:rsidRDefault="00283F2B" w:rsidP="00387EF1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283F2B" w:rsidRPr="00D51E4F" w:rsidRDefault="00283F2B" w:rsidP="00387EF1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D51E4F" w:rsidRDefault="00283F2B" w:rsidP="00387E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D51E4F" w:rsidRDefault="00283F2B" w:rsidP="00387EF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D51E4F" w:rsidRDefault="00283F2B" w:rsidP="00387EF1">
            <w:pPr>
              <w:jc w:val="center"/>
            </w:pPr>
          </w:p>
        </w:tc>
      </w:tr>
    </w:tbl>
    <w:p w:rsidR="00387EF1" w:rsidRPr="00312A4B" w:rsidRDefault="00387EF1" w:rsidP="00387EF1">
      <w:pPr>
        <w:ind w:firstLine="709"/>
        <w:jc w:val="both"/>
      </w:pPr>
      <w:r w:rsidRPr="00387EF1">
        <w:t xml:space="preserve">Бюджет </w:t>
      </w:r>
      <w:r w:rsidRPr="00312A4B">
        <w:t>Лесозаводского городского округа</w:t>
      </w:r>
      <w:r w:rsidRPr="00312A4B">
        <w:rPr>
          <w:i/>
        </w:rPr>
        <w:t xml:space="preserve"> </w:t>
      </w:r>
      <w:r w:rsidRPr="00312A4B">
        <w:t xml:space="preserve">за </w:t>
      </w:r>
      <w:r w:rsidRPr="00312A4B">
        <w:rPr>
          <w:rFonts w:eastAsia="Calibri"/>
        </w:rPr>
        <w:t>январь – март 20</w:t>
      </w:r>
      <w:r w:rsidR="00312A4B" w:rsidRPr="00312A4B">
        <w:rPr>
          <w:rFonts w:eastAsia="Calibri"/>
        </w:rPr>
        <w:t>20</w:t>
      </w:r>
      <w:r w:rsidRPr="00312A4B">
        <w:rPr>
          <w:rFonts w:eastAsia="Calibri"/>
        </w:rPr>
        <w:t xml:space="preserve"> года </w:t>
      </w:r>
      <w:r w:rsidRPr="00312A4B">
        <w:t>исполнен:</w:t>
      </w:r>
    </w:p>
    <w:p w:rsidR="00387EF1" w:rsidRPr="00312A4B" w:rsidRDefault="00387EF1" w:rsidP="00387EF1">
      <w:pPr>
        <w:ind w:firstLine="709"/>
        <w:jc w:val="both"/>
      </w:pPr>
      <w:r w:rsidRPr="00312A4B">
        <w:t xml:space="preserve">- по доходам -  в сумме </w:t>
      </w:r>
      <w:r w:rsidR="00312A4B" w:rsidRPr="0033283E">
        <w:rPr>
          <w:b/>
        </w:rPr>
        <w:t>262903,4</w:t>
      </w:r>
      <w:r w:rsidRPr="00312A4B">
        <w:rPr>
          <w:rFonts w:eastAsia="Arial Unicode MS"/>
          <w:color w:val="000000"/>
        </w:rPr>
        <w:t xml:space="preserve"> </w:t>
      </w:r>
      <w:proofErr w:type="spellStart"/>
      <w:r w:rsidRPr="00312A4B">
        <w:t>тыс</w:t>
      </w:r>
      <w:proofErr w:type="gramStart"/>
      <w:r w:rsidRPr="00312A4B">
        <w:t>.р</w:t>
      </w:r>
      <w:proofErr w:type="gramEnd"/>
      <w:r w:rsidRPr="00312A4B">
        <w:t>уб</w:t>
      </w:r>
      <w:proofErr w:type="spellEnd"/>
      <w:r w:rsidRPr="00312A4B">
        <w:t>. или 2</w:t>
      </w:r>
      <w:r w:rsidR="00312A4B" w:rsidRPr="00312A4B">
        <w:t>1</w:t>
      </w:r>
      <w:r w:rsidRPr="00312A4B">
        <w:t>,</w:t>
      </w:r>
      <w:r w:rsidR="00312A4B" w:rsidRPr="00312A4B">
        <w:t>9</w:t>
      </w:r>
      <w:r w:rsidRPr="00312A4B">
        <w:t xml:space="preserve">% от утвержденных назначений </w:t>
      </w:r>
      <w:r w:rsidR="00312A4B" w:rsidRPr="00312A4B">
        <w:t>(</w:t>
      </w:r>
      <w:r w:rsidRPr="00312A4B">
        <w:rPr>
          <w:bCs/>
          <w:color w:val="000000"/>
        </w:rPr>
        <w:t>1</w:t>
      </w:r>
      <w:r w:rsidR="00312A4B" w:rsidRPr="00312A4B">
        <w:rPr>
          <w:bCs/>
          <w:color w:val="000000"/>
        </w:rPr>
        <w:t>202070,09</w:t>
      </w:r>
      <w:r w:rsidRPr="00312A4B">
        <w:rPr>
          <w:color w:val="000000"/>
        </w:rPr>
        <w:t xml:space="preserve"> </w:t>
      </w:r>
      <w:r w:rsidRPr="00312A4B">
        <w:t>тыс. руб.</w:t>
      </w:r>
      <w:r w:rsidR="00312A4B" w:rsidRPr="00312A4B">
        <w:t>)</w:t>
      </w:r>
      <w:r w:rsidRPr="00312A4B">
        <w:t>;</w:t>
      </w:r>
    </w:p>
    <w:p w:rsidR="00387EF1" w:rsidRPr="00312A4B" w:rsidRDefault="00387EF1" w:rsidP="00387EF1">
      <w:pPr>
        <w:ind w:firstLine="709"/>
        <w:jc w:val="both"/>
      </w:pPr>
      <w:r w:rsidRPr="00312A4B">
        <w:t xml:space="preserve">- по расходам – в сумме </w:t>
      </w:r>
      <w:r w:rsidR="00312A4B" w:rsidRPr="0033283E">
        <w:rPr>
          <w:b/>
        </w:rPr>
        <w:t>271005,5</w:t>
      </w:r>
      <w:r w:rsidRPr="00312A4B">
        <w:rPr>
          <w:rFonts w:eastAsia="Arial Unicode MS"/>
          <w:color w:val="000000"/>
        </w:rPr>
        <w:t xml:space="preserve"> </w:t>
      </w:r>
      <w:proofErr w:type="spellStart"/>
      <w:r w:rsidRPr="00312A4B">
        <w:t>тыс</w:t>
      </w:r>
      <w:proofErr w:type="gramStart"/>
      <w:r w:rsidRPr="00312A4B">
        <w:t>.р</w:t>
      </w:r>
      <w:proofErr w:type="gramEnd"/>
      <w:r w:rsidRPr="00312A4B">
        <w:t>уб</w:t>
      </w:r>
      <w:proofErr w:type="spellEnd"/>
      <w:r w:rsidRPr="00312A4B">
        <w:t xml:space="preserve">. или </w:t>
      </w:r>
      <w:r w:rsidR="00312A4B" w:rsidRPr="00312A4B">
        <w:t>21,7</w:t>
      </w:r>
      <w:r w:rsidRPr="00312A4B">
        <w:t xml:space="preserve">% от уточненных бюджетных назначений </w:t>
      </w:r>
      <w:r w:rsidR="00312A4B" w:rsidRPr="00312A4B">
        <w:t>(1246603,97</w:t>
      </w:r>
      <w:r w:rsidRPr="00312A4B">
        <w:t xml:space="preserve"> </w:t>
      </w:r>
      <w:proofErr w:type="spellStart"/>
      <w:r w:rsidRPr="00312A4B">
        <w:t>тыс.руб</w:t>
      </w:r>
      <w:proofErr w:type="spellEnd"/>
      <w:r w:rsidRPr="00312A4B">
        <w:t>.</w:t>
      </w:r>
      <w:r w:rsidR="00312A4B" w:rsidRPr="00312A4B">
        <w:t>)</w:t>
      </w:r>
      <w:r w:rsidRPr="00312A4B">
        <w:t xml:space="preserve">; </w:t>
      </w:r>
    </w:p>
    <w:p w:rsidR="00387EF1" w:rsidRPr="00312A4B" w:rsidRDefault="00387EF1" w:rsidP="00387EF1">
      <w:pPr>
        <w:jc w:val="both"/>
      </w:pPr>
      <w:r w:rsidRPr="00312A4B">
        <w:t xml:space="preserve">            - дефицит   бюджета составил </w:t>
      </w:r>
      <w:r w:rsidR="00312A4B" w:rsidRPr="0033283E">
        <w:rPr>
          <w:b/>
        </w:rPr>
        <w:t>8102,1</w:t>
      </w:r>
      <w:r w:rsidRPr="00312A4B">
        <w:rPr>
          <w:rFonts w:eastAsia="Arial Unicode MS"/>
          <w:color w:val="000000"/>
        </w:rPr>
        <w:t xml:space="preserve"> </w:t>
      </w:r>
      <w:r w:rsidRPr="00312A4B">
        <w:t xml:space="preserve">тыс. руб. или </w:t>
      </w:r>
      <w:r w:rsidR="00312A4B" w:rsidRPr="00312A4B">
        <w:t>48,8</w:t>
      </w:r>
      <w:r w:rsidRPr="00312A4B">
        <w:t xml:space="preserve">% от утвержденного дефицита бюджета </w:t>
      </w:r>
      <w:r w:rsidR="00312A4B" w:rsidRPr="00312A4B">
        <w:t>(16600</w:t>
      </w:r>
      <w:r w:rsidRPr="00312A4B">
        <w:rPr>
          <w:color w:val="000000"/>
        </w:rPr>
        <w:t xml:space="preserve"> </w:t>
      </w:r>
      <w:r w:rsidRPr="00312A4B">
        <w:t>тыс. руб.</w:t>
      </w:r>
      <w:r w:rsidR="00312A4B" w:rsidRPr="00312A4B">
        <w:t>).</w:t>
      </w:r>
    </w:p>
    <w:p w:rsidR="00B9158C" w:rsidRPr="00B9158C" w:rsidRDefault="00B9158C" w:rsidP="00B915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16"/>
          <w:szCs w:val="16"/>
        </w:rPr>
      </w:pPr>
    </w:p>
    <w:p w:rsidR="00AB2513" w:rsidRPr="0066160C" w:rsidRDefault="00E50E6D" w:rsidP="00AB2513">
      <w:pPr>
        <w:pStyle w:val="a8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66160C">
        <w:rPr>
          <w:b/>
        </w:rPr>
        <w:t>И</w:t>
      </w:r>
      <w:r w:rsidR="00D5469D" w:rsidRPr="0066160C">
        <w:rPr>
          <w:b/>
        </w:rPr>
        <w:t>сполнени</w:t>
      </w:r>
      <w:r w:rsidRPr="0066160C">
        <w:rPr>
          <w:b/>
        </w:rPr>
        <w:t xml:space="preserve">е </w:t>
      </w:r>
      <w:r w:rsidR="00D5469D" w:rsidRPr="0066160C">
        <w:rPr>
          <w:b/>
        </w:rPr>
        <w:t xml:space="preserve"> доход</w:t>
      </w:r>
      <w:r w:rsidRPr="0066160C">
        <w:rPr>
          <w:b/>
        </w:rPr>
        <w:t xml:space="preserve">ной части </w:t>
      </w:r>
      <w:r w:rsidR="00D5469D" w:rsidRPr="0066160C">
        <w:rPr>
          <w:b/>
        </w:rPr>
        <w:t xml:space="preserve"> бюджета</w:t>
      </w:r>
    </w:p>
    <w:p w:rsidR="0066160C" w:rsidRDefault="0066160C" w:rsidP="00AB2513">
      <w:pPr>
        <w:ind w:firstLine="708"/>
        <w:jc w:val="both"/>
        <w:rPr>
          <w:rFonts w:eastAsia="SimSun"/>
          <w:lang w:eastAsia="zh-CN"/>
        </w:rPr>
      </w:pPr>
    </w:p>
    <w:p w:rsidR="00AB2513" w:rsidRDefault="00443E66" w:rsidP="00AB2513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Б</w:t>
      </w:r>
      <w:r w:rsidR="00312A4B">
        <w:rPr>
          <w:rFonts w:eastAsia="SimSun"/>
          <w:lang w:eastAsia="zh-CN"/>
        </w:rPr>
        <w:t xml:space="preserve">юджет </w:t>
      </w:r>
      <w:r w:rsidR="00312A4B" w:rsidRPr="00AB2513">
        <w:t>Лесозаводского городского округа</w:t>
      </w:r>
      <w:r w:rsidR="00312A4B" w:rsidRPr="00AB2513">
        <w:rPr>
          <w:rFonts w:eastAsia="SimSun"/>
          <w:lang w:eastAsia="zh-CN"/>
        </w:rPr>
        <w:t xml:space="preserve"> </w:t>
      </w:r>
      <w:r w:rsidR="00AB2513" w:rsidRPr="00AB2513">
        <w:rPr>
          <w:rFonts w:eastAsia="SimSun"/>
          <w:lang w:eastAsia="zh-CN"/>
        </w:rPr>
        <w:t>по доходам за 1 квартал 20</w:t>
      </w:r>
      <w:r>
        <w:rPr>
          <w:rFonts w:eastAsia="SimSun"/>
          <w:lang w:eastAsia="zh-CN"/>
        </w:rPr>
        <w:t>20</w:t>
      </w:r>
      <w:r w:rsidR="00AB2513" w:rsidRPr="00AB2513">
        <w:rPr>
          <w:rFonts w:eastAsia="SimSun"/>
          <w:lang w:eastAsia="zh-CN"/>
        </w:rPr>
        <w:t xml:space="preserve"> года выполнен на </w:t>
      </w:r>
      <w:r w:rsidR="00312A4B">
        <w:rPr>
          <w:rFonts w:eastAsia="SimSun"/>
          <w:lang w:eastAsia="zh-CN"/>
        </w:rPr>
        <w:t>21,9</w:t>
      </w:r>
      <w:r w:rsidR="00AB2513" w:rsidRPr="00AB2513">
        <w:rPr>
          <w:rFonts w:eastAsia="SimSun"/>
          <w:lang w:eastAsia="zh-CN"/>
        </w:rPr>
        <w:t xml:space="preserve">% или в сумме </w:t>
      </w:r>
      <w:r w:rsidR="00312A4B" w:rsidRPr="00443E66">
        <w:rPr>
          <w:rFonts w:eastAsia="SimSun"/>
          <w:b/>
          <w:lang w:eastAsia="zh-CN"/>
        </w:rPr>
        <w:t>262903,4</w:t>
      </w:r>
      <w:r w:rsidR="00AB2513" w:rsidRPr="00AB2513">
        <w:rPr>
          <w:rFonts w:eastAsia="SimSun"/>
          <w:lang w:eastAsia="zh-CN"/>
        </w:rPr>
        <w:t xml:space="preserve"> тыс. руб.</w:t>
      </w:r>
    </w:p>
    <w:p w:rsidR="002406BF" w:rsidRDefault="002406BF" w:rsidP="002406BF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Объем налоговых и неналоговых доходов за</w:t>
      </w:r>
      <w:r w:rsidRPr="00BF1B4C">
        <w:rPr>
          <w:rFonts w:eastAsia="SimSun"/>
          <w:lang w:eastAsia="zh-CN"/>
        </w:rPr>
        <w:t xml:space="preserve"> 1 квартал 20</w:t>
      </w:r>
      <w:r>
        <w:rPr>
          <w:rFonts w:eastAsia="SimSun"/>
          <w:lang w:eastAsia="zh-CN"/>
        </w:rPr>
        <w:t>20</w:t>
      </w:r>
      <w:r w:rsidRPr="00BF1B4C">
        <w:rPr>
          <w:rFonts w:eastAsia="SimSun"/>
          <w:lang w:eastAsia="zh-CN"/>
        </w:rPr>
        <w:t xml:space="preserve"> года </w:t>
      </w:r>
      <w:r>
        <w:rPr>
          <w:rFonts w:eastAsia="SimSun"/>
          <w:lang w:eastAsia="zh-CN"/>
        </w:rPr>
        <w:t xml:space="preserve">составил </w:t>
      </w:r>
      <w:r w:rsidRPr="00443E66">
        <w:rPr>
          <w:rFonts w:eastAsia="SimSun"/>
          <w:b/>
          <w:lang w:eastAsia="zh-CN"/>
        </w:rPr>
        <w:t>123673</w:t>
      </w:r>
      <w:r w:rsidRPr="00BF1B4C">
        <w:rPr>
          <w:rFonts w:eastAsia="SimSun"/>
          <w:lang w:eastAsia="zh-CN"/>
        </w:rPr>
        <w:t xml:space="preserve"> </w:t>
      </w:r>
      <w:r w:rsidRPr="00BF1B4C">
        <w:t>тыс.</w:t>
      </w:r>
      <w:r>
        <w:t xml:space="preserve"> </w:t>
      </w:r>
      <w:r w:rsidRPr="00BF1B4C">
        <w:t xml:space="preserve">руб. </w:t>
      </w:r>
      <w:r w:rsidRPr="00BF1B4C">
        <w:rPr>
          <w:rFonts w:eastAsia="SimSun"/>
          <w:lang w:eastAsia="zh-CN"/>
        </w:rPr>
        <w:t xml:space="preserve">или </w:t>
      </w:r>
      <w:r>
        <w:rPr>
          <w:rFonts w:eastAsia="SimSun"/>
          <w:lang w:eastAsia="zh-CN"/>
        </w:rPr>
        <w:t>2</w:t>
      </w:r>
      <w:r w:rsidR="00443E66">
        <w:rPr>
          <w:rFonts w:eastAsia="SimSun"/>
          <w:lang w:eastAsia="zh-CN"/>
        </w:rPr>
        <w:t>2</w:t>
      </w:r>
      <w:r w:rsidRPr="00BF1B4C">
        <w:rPr>
          <w:rFonts w:eastAsia="SimSun"/>
          <w:lang w:eastAsia="zh-CN"/>
        </w:rPr>
        <w:t>,</w:t>
      </w:r>
      <w:r w:rsidR="00443E66">
        <w:rPr>
          <w:rFonts w:eastAsia="SimSun"/>
          <w:lang w:eastAsia="zh-CN"/>
        </w:rPr>
        <w:t>7</w:t>
      </w:r>
      <w:r w:rsidRPr="00BF1B4C">
        <w:rPr>
          <w:rFonts w:eastAsia="SimSun"/>
          <w:lang w:eastAsia="zh-CN"/>
        </w:rPr>
        <w:t xml:space="preserve">% от </w:t>
      </w:r>
      <w:r>
        <w:rPr>
          <w:rFonts w:eastAsia="SimSun"/>
          <w:lang w:eastAsia="zh-CN"/>
        </w:rPr>
        <w:t xml:space="preserve">уточненного плана (545591 тыс. руб.). </w:t>
      </w:r>
    </w:p>
    <w:p w:rsidR="002406BF" w:rsidRDefault="002406BF" w:rsidP="002406BF">
      <w:pPr>
        <w:ind w:firstLine="601"/>
        <w:jc w:val="both"/>
      </w:pPr>
      <w:r>
        <w:t xml:space="preserve">При плане 656479,09 тыс. руб. безвозмездных поступлений получено в сумме </w:t>
      </w:r>
      <w:r w:rsidRPr="00443E66">
        <w:rPr>
          <w:b/>
        </w:rPr>
        <w:t>139230</w:t>
      </w:r>
      <w:r>
        <w:t xml:space="preserve"> тыс. руб. или 21,2%.</w:t>
      </w:r>
    </w:p>
    <w:p w:rsidR="002406BF" w:rsidRDefault="002406BF" w:rsidP="0002446A">
      <w:pPr>
        <w:ind w:firstLine="601"/>
        <w:jc w:val="both"/>
      </w:pPr>
      <w:r>
        <w:t xml:space="preserve">К уровню прошлого года </w:t>
      </w:r>
      <w:r w:rsidR="00AB2513">
        <w:t xml:space="preserve">доходов поступило больше </w:t>
      </w:r>
      <w:r w:rsidR="00012314" w:rsidRPr="00012314">
        <w:t xml:space="preserve">на </w:t>
      </w:r>
      <w:r w:rsidR="007723CD" w:rsidRPr="002406BF">
        <w:rPr>
          <w:b/>
        </w:rPr>
        <w:t>49896</w:t>
      </w:r>
      <w:r w:rsidR="00012314" w:rsidRPr="00012314">
        <w:t xml:space="preserve"> тыс. руб. или на </w:t>
      </w:r>
      <w:r w:rsidR="00AB2513">
        <w:t>2</w:t>
      </w:r>
      <w:r w:rsidR="007723CD">
        <w:t>3</w:t>
      </w:r>
      <w:r w:rsidR="00AB2513">
        <w:t>,</w:t>
      </w:r>
      <w:r w:rsidR="007723CD">
        <w:t>4</w:t>
      </w:r>
      <w:r w:rsidR="00AB2513">
        <w:t>%</w:t>
      </w:r>
      <w:r>
        <w:t>, в том числе</w:t>
      </w:r>
      <w:r w:rsidRPr="002406BF">
        <w:t>:</w:t>
      </w:r>
    </w:p>
    <w:p w:rsidR="002406BF" w:rsidRPr="0033283E" w:rsidRDefault="002406BF" w:rsidP="0002446A">
      <w:pPr>
        <w:ind w:firstLine="601"/>
        <w:jc w:val="both"/>
      </w:pPr>
      <w:r>
        <w:t>- налоговые и неналоговые доходы – на 5505 тыс. руб., или на 4,7%</w:t>
      </w:r>
      <w:r w:rsidR="0033283E">
        <w:t>, из них</w:t>
      </w:r>
      <w:r w:rsidR="0033283E" w:rsidRPr="0033283E">
        <w:t>:</w:t>
      </w:r>
    </w:p>
    <w:p w:rsidR="002406BF" w:rsidRDefault="002406BF" w:rsidP="0002446A">
      <w:pPr>
        <w:ind w:firstLine="601"/>
        <w:jc w:val="both"/>
      </w:pPr>
      <w:r>
        <w:tab/>
      </w:r>
      <w:r>
        <w:tab/>
        <w:t>-налоговые доходы – на 12667 тыс. руб. или на 12,6%,</w:t>
      </w:r>
    </w:p>
    <w:p w:rsidR="002406BF" w:rsidRDefault="002406BF" w:rsidP="0002446A">
      <w:pPr>
        <w:ind w:firstLine="601"/>
        <w:jc w:val="both"/>
      </w:pPr>
      <w:r>
        <w:tab/>
      </w:r>
      <w:r>
        <w:tab/>
        <w:t>-неналоговые доходы – на (-)7162 тыс. руб.</w:t>
      </w:r>
      <w:r w:rsidR="00443E66">
        <w:t>, со</w:t>
      </w:r>
      <w:r>
        <w:t xml:space="preserve"> </w:t>
      </w:r>
      <w:r w:rsidR="003764FF">
        <w:t>снижение</w:t>
      </w:r>
      <w:r w:rsidR="00443E66">
        <w:t>м</w:t>
      </w:r>
      <w:r w:rsidR="003764FF">
        <w:t xml:space="preserve"> </w:t>
      </w:r>
      <w:r>
        <w:t>на 40%</w:t>
      </w:r>
      <w:r w:rsidR="003764FF">
        <w:t>,</w:t>
      </w:r>
    </w:p>
    <w:p w:rsidR="00012314" w:rsidRPr="003764FF" w:rsidRDefault="002406BF" w:rsidP="002406BF">
      <w:pPr>
        <w:ind w:firstLine="567"/>
        <w:jc w:val="both"/>
      </w:pPr>
      <w:r>
        <w:t>- безвозмездные поступления – на 44391 тыс. руб. или на 46,8%</w:t>
      </w:r>
      <w:r w:rsidR="0033283E">
        <w:t>, из них</w:t>
      </w:r>
      <w:r w:rsidR="003764FF" w:rsidRPr="003764FF">
        <w:t>:</w:t>
      </w:r>
    </w:p>
    <w:p w:rsidR="002406BF" w:rsidRPr="002406BF" w:rsidRDefault="002406BF" w:rsidP="002406BF">
      <w:pPr>
        <w:ind w:firstLine="567"/>
        <w:jc w:val="both"/>
      </w:pPr>
      <w:r>
        <w:tab/>
      </w:r>
      <w:r>
        <w:tab/>
      </w:r>
      <w:r w:rsidR="0033283E">
        <w:t>-</w:t>
      </w:r>
      <w:r>
        <w:t xml:space="preserve">дотации – на 35321 тыс. руб. или </w:t>
      </w:r>
      <w:r w:rsidR="003764FF">
        <w:t>в 90,9 раза,</w:t>
      </w:r>
    </w:p>
    <w:p w:rsidR="002406BF" w:rsidRDefault="002406BF" w:rsidP="002406BF">
      <w:pPr>
        <w:ind w:firstLine="567"/>
        <w:jc w:val="both"/>
      </w:pPr>
      <w:r>
        <w:tab/>
      </w:r>
      <w:r>
        <w:tab/>
      </w:r>
      <w:r w:rsidR="0033283E">
        <w:t>-</w:t>
      </w:r>
      <w:r>
        <w:t xml:space="preserve">субвенции </w:t>
      </w:r>
      <w:r w:rsidR="003764FF">
        <w:t>–</w:t>
      </w:r>
      <w:r>
        <w:t xml:space="preserve"> </w:t>
      </w:r>
      <w:r w:rsidR="003764FF">
        <w:t>на 13798 тыс. руб. или на 14,5%.</w:t>
      </w:r>
    </w:p>
    <w:p w:rsidR="002406BF" w:rsidRDefault="002406BF" w:rsidP="002406BF">
      <w:pPr>
        <w:ind w:firstLine="567"/>
        <w:jc w:val="both"/>
      </w:pPr>
    </w:p>
    <w:p w:rsidR="00D5469D" w:rsidRDefault="00BF1B4C" w:rsidP="00BF1B4C">
      <w:pPr>
        <w:ind w:firstLine="601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="00D5469D" w:rsidRPr="007642E0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="00D5469D" w:rsidRPr="007642E0">
        <w:rPr>
          <w:rFonts w:cs="Verdana"/>
          <w:bCs/>
        </w:rPr>
        <w:t xml:space="preserve"> бюджета</w:t>
      </w:r>
      <w:r w:rsidR="00934848" w:rsidRPr="00934848">
        <w:rPr>
          <w:bCs/>
        </w:rPr>
        <w:t xml:space="preserve"> </w:t>
      </w:r>
      <w:r w:rsidRPr="00012314">
        <w:t xml:space="preserve">Лесозаводского городского округа </w:t>
      </w:r>
      <w:r w:rsidR="001127A9" w:rsidRPr="007642E0">
        <w:rPr>
          <w:rFonts w:cs="Verdana"/>
          <w:bCs/>
        </w:rPr>
        <w:t xml:space="preserve">в разрезе </w:t>
      </w:r>
      <w:r>
        <w:rPr>
          <w:rFonts w:cs="Verdana"/>
          <w:bCs/>
        </w:rPr>
        <w:t xml:space="preserve">источников </w:t>
      </w:r>
      <w:r w:rsidR="001127A9" w:rsidRPr="007642E0">
        <w:rPr>
          <w:rFonts w:cs="Verdana"/>
          <w:bCs/>
        </w:rPr>
        <w:t>доходов</w:t>
      </w:r>
      <w:r w:rsidR="00934848" w:rsidRPr="00E50E6D">
        <w:rPr>
          <w:bCs/>
        </w:rPr>
        <w:t xml:space="preserve"> </w:t>
      </w:r>
      <w:r w:rsidRPr="00BF1B4C">
        <w:rPr>
          <w:rFonts w:eastAsia="SimSun"/>
          <w:lang w:eastAsia="zh-CN"/>
        </w:rPr>
        <w:t>представлено</w:t>
      </w:r>
      <w:r w:rsidR="00D5469D" w:rsidRPr="007642E0">
        <w:rPr>
          <w:rFonts w:cs="Verdana"/>
          <w:bCs/>
        </w:rPr>
        <w:t xml:space="preserve"> в таблице: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276"/>
        <w:gridCol w:w="1134"/>
        <w:gridCol w:w="850"/>
        <w:gridCol w:w="1134"/>
        <w:gridCol w:w="851"/>
        <w:gridCol w:w="992"/>
      </w:tblGrid>
      <w:tr w:rsidR="00F5795D" w:rsidRPr="004D384A" w:rsidTr="00764BAB">
        <w:trPr>
          <w:trHeight w:val="330"/>
        </w:trPr>
        <w:tc>
          <w:tcPr>
            <w:tcW w:w="3510" w:type="dxa"/>
            <w:vMerge w:val="restart"/>
          </w:tcPr>
          <w:p w:rsidR="00F5795D" w:rsidRPr="00D51E4F" w:rsidRDefault="00F5795D" w:rsidP="00CF400E">
            <w:pPr>
              <w:jc w:val="center"/>
              <w:rPr>
                <w:sz w:val="18"/>
                <w:szCs w:val="18"/>
              </w:rPr>
            </w:pPr>
          </w:p>
          <w:p w:rsidR="00F5795D" w:rsidRPr="00D51E4F" w:rsidRDefault="00F5795D" w:rsidP="00CF400E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1276" w:type="dxa"/>
            <w:vMerge w:val="restart"/>
          </w:tcPr>
          <w:p w:rsidR="00F5795D" w:rsidRPr="00D51E4F" w:rsidRDefault="00F5795D" w:rsidP="003B1C43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Утвержденный бюджет на 20</w:t>
            </w:r>
            <w:r w:rsidR="003B1C43" w:rsidRPr="00D51E4F">
              <w:rPr>
                <w:sz w:val="18"/>
                <w:szCs w:val="18"/>
              </w:rPr>
              <w:t>20</w:t>
            </w:r>
            <w:r w:rsidRPr="00D51E4F">
              <w:rPr>
                <w:sz w:val="18"/>
                <w:szCs w:val="18"/>
              </w:rPr>
              <w:t xml:space="preserve"> год</w:t>
            </w:r>
            <w:r w:rsidR="00C97049" w:rsidRPr="00D51E4F">
              <w:rPr>
                <w:sz w:val="18"/>
                <w:szCs w:val="18"/>
              </w:rPr>
              <w:t>, тыс. руб.</w:t>
            </w:r>
            <w:r w:rsidRPr="00D51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:rsidR="00F5795D" w:rsidRPr="00D51E4F" w:rsidRDefault="00283F2B" w:rsidP="00CF400E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Исполнение</w:t>
            </w:r>
            <w:r w:rsidR="00F5795D" w:rsidRPr="00D51E4F">
              <w:rPr>
                <w:sz w:val="18"/>
                <w:szCs w:val="18"/>
              </w:rPr>
              <w:t xml:space="preserve"> </w:t>
            </w:r>
            <w:proofErr w:type="gramStart"/>
            <w:r w:rsidR="00F5795D" w:rsidRPr="00D51E4F">
              <w:rPr>
                <w:sz w:val="18"/>
                <w:szCs w:val="18"/>
              </w:rPr>
              <w:t>за</w:t>
            </w:r>
            <w:proofErr w:type="gramEnd"/>
          </w:p>
          <w:p w:rsidR="00F5795D" w:rsidRPr="00D51E4F" w:rsidRDefault="00F5795D" w:rsidP="003B1C43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1 квартал 20</w:t>
            </w:r>
            <w:r w:rsidR="003B1C43" w:rsidRPr="00D51E4F">
              <w:rPr>
                <w:sz w:val="18"/>
                <w:szCs w:val="18"/>
              </w:rPr>
              <w:t>20</w:t>
            </w:r>
            <w:r w:rsidRPr="00D51E4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vMerge w:val="restart"/>
          </w:tcPr>
          <w:p w:rsidR="00F5795D" w:rsidRPr="00D51E4F" w:rsidRDefault="00283F2B" w:rsidP="007C17E7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Исполнение</w:t>
            </w:r>
            <w:r w:rsidR="00F5795D" w:rsidRPr="00D51E4F">
              <w:rPr>
                <w:sz w:val="18"/>
                <w:szCs w:val="18"/>
              </w:rPr>
              <w:t xml:space="preserve"> </w:t>
            </w:r>
            <w:proofErr w:type="gramStart"/>
            <w:r w:rsidR="00F5795D" w:rsidRPr="00D51E4F">
              <w:rPr>
                <w:sz w:val="18"/>
                <w:szCs w:val="18"/>
              </w:rPr>
              <w:t>за</w:t>
            </w:r>
            <w:proofErr w:type="gramEnd"/>
            <w:r w:rsidR="00F5795D" w:rsidRPr="00D51E4F">
              <w:rPr>
                <w:sz w:val="18"/>
                <w:szCs w:val="18"/>
              </w:rPr>
              <w:t xml:space="preserve"> </w:t>
            </w:r>
          </w:p>
          <w:p w:rsidR="00F5795D" w:rsidRPr="00D51E4F" w:rsidRDefault="00F5795D" w:rsidP="000628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1 </w:t>
            </w:r>
            <w:proofErr w:type="spellStart"/>
            <w:r w:rsidRPr="00D51E4F">
              <w:rPr>
                <w:sz w:val="18"/>
                <w:szCs w:val="18"/>
              </w:rPr>
              <w:t>кв</w:t>
            </w:r>
            <w:proofErr w:type="spellEnd"/>
            <w:r w:rsidRPr="00D51E4F">
              <w:rPr>
                <w:sz w:val="18"/>
                <w:szCs w:val="18"/>
              </w:rPr>
              <w:t xml:space="preserve"> 201</w:t>
            </w:r>
            <w:r w:rsidR="003B1C43" w:rsidRPr="00D51E4F">
              <w:rPr>
                <w:sz w:val="18"/>
                <w:szCs w:val="18"/>
              </w:rPr>
              <w:t>9</w:t>
            </w:r>
            <w:r w:rsidRPr="00D51E4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843" w:type="dxa"/>
            <w:gridSpan w:val="2"/>
          </w:tcPr>
          <w:p w:rsidR="00F5795D" w:rsidRPr="00D51E4F" w:rsidRDefault="00F5795D" w:rsidP="003B1C43">
            <w:pPr>
              <w:ind w:left="-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Темп роста к 201</w:t>
            </w:r>
            <w:r w:rsidR="003B1C43" w:rsidRPr="00D51E4F">
              <w:rPr>
                <w:sz w:val="18"/>
                <w:szCs w:val="18"/>
              </w:rPr>
              <w:t>9</w:t>
            </w:r>
          </w:p>
        </w:tc>
      </w:tr>
      <w:tr w:rsidR="00F5795D" w:rsidRPr="004D384A" w:rsidTr="00764BAB">
        <w:trPr>
          <w:trHeight w:val="207"/>
        </w:trPr>
        <w:tc>
          <w:tcPr>
            <w:tcW w:w="3510" w:type="dxa"/>
            <w:vMerge/>
          </w:tcPr>
          <w:p w:rsidR="00F5795D" w:rsidRPr="00D51E4F" w:rsidRDefault="00F5795D" w:rsidP="00CF4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795D" w:rsidRPr="00D51E4F" w:rsidRDefault="00F5795D" w:rsidP="00CF400E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F5795D" w:rsidRPr="00D51E4F" w:rsidRDefault="00F5795D" w:rsidP="00D54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795D" w:rsidRPr="00D51E4F" w:rsidRDefault="00F5795D" w:rsidP="007C17E7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5795D" w:rsidRPr="00D51E4F" w:rsidRDefault="00F5795D" w:rsidP="00CF400E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F5795D" w:rsidRPr="00D51E4F" w:rsidRDefault="00F5795D" w:rsidP="00CF400E">
            <w:pPr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</w:t>
            </w:r>
            <w:proofErr w:type="gramStart"/>
            <w:r w:rsidRPr="00D51E4F">
              <w:rPr>
                <w:sz w:val="18"/>
                <w:szCs w:val="18"/>
              </w:rPr>
              <w:t>.р</w:t>
            </w:r>
            <w:proofErr w:type="gramEnd"/>
            <w:r w:rsidRPr="00D51E4F">
              <w:rPr>
                <w:sz w:val="18"/>
                <w:szCs w:val="18"/>
              </w:rPr>
              <w:t>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</w:tr>
      <w:tr w:rsidR="00764BAB" w:rsidRPr="004D384A" w:rsidTr="00764BAB">
        <w:trPr>
          <w:trHeight w:val="216"/>
        </w:trPr>
        <w:tc>
          <w:tcPr>
            <w:tcW w:w="3510" w:type="dxa"/>
            <w:vMerge/>
          </w:tcPr>
          <w:p w:rsidR="00764BAB" w:rsidRPr="00D51E4F" w:rsidRDefault="00764BAB" w:rsidP="00CF4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4BAB" w:rsidRPr="00D51E4F" w:rsidRDefault="00764BAB" w:rsidP="00CF400E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4BAB" w:rsidRPr="00D51E4F" w:rsidRDefault="00764BAB" w:rsidP="00283F2B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</w:t>
            </w:r>
            <w:proofErr w:type="gramStart"/>
            <w:r w:rsidRPr="00D51E4F">
              <w:rPr>
                <w:sz w:val="18"/>
                <w:szCs w:val="18"/>
              </w:rPr>
              <w:t>.р</w:t>
            </w:r>
            <w:proofErr w:type="gramEnd"/>
            <w:r w:rsidRPr="00D51E4F">
              <w:rPr>
                <w:sz w:val="18"/>
                <w:szCs w:val="18"/>
              </w:rPr>
              <w:t>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64BAB" w:rsidRPr="00D51E4F" w:rsidRDefault="00764BAB" w:rsidP="00283F2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764BAB" w:rsidRPr="00D51E4F" w:rsidRDefault="00764BAB" w:rsidP="00C41C74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</w:t>
            </w:r>
            <w:proofErr w:type="gramStart"/>
            <w:r w:rsidRPr="00D51E4F">
              <w:rPr>
                <w:sz w:val="18"/>
                <w:szCs w:val="18"/>
              </w:rPr>
              <w:t>.р</w:t>
            </w:r>
            <w:proofErr w:type="gramEnd"/>
            <w:r w:rsidRPr="00D51E4F">
              <w:rPr>
                <w:sz w:val="18"/>
                <w:szCs w:val="18"/>
              </w:rPr>
              <w:t>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764BAB" w:rsidRPr="00D51E4F" w:rsidRDefault="00764BAB" w:rsidP="00CF4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4BAB" w:rsidRPr="00D51E4F" w:rsidRDefault="00764BAB" w:rsidP="00CF400E">
            <w:pPr>
              <w:jc w:val="center"/>
              <w:rPr>
                <w:sz w:val="18"/>
                <w:szCs w:val="18"/>
              </w:rPr>
            </w:pPr>
          </w:p>
        </w:tc>
      </w:tr>
      <w:tr w:rsidR="00764BAB" w:rsidRPr="002C5C94" w:rsidTr="00764BAB">
        <w:trPr>
          <w:trHeight w:val="296"/>
        </w:trPr>
        <w:tc>
          <w:tcPr>
            <w:tcW w:w="3510" w:type="dxa"/>
            <w:shd w:val="clear" w:color="auto" w:fill="EEECE1" w:themeFill="background2"/>
            <w:vAlign w:val="center"/>
          </w:tcPr>
          <w:p w:rsidR="00764BAB" w:rsidRPr="00DD6D50" w:rsidRDefault="00764BAB" w:rsidP="00CF400E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764BAB" w:rsidRDefault="000628FE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1202070,1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262903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213007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123,4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+49896</w:t>
            </w:r>
          </w:p>
        </w:tc>
      </w:tr>
      <w:tr w:rsidR="00764BAB" w:rsidRPr="002C5C94" w:rsidTr="00764BAB">
        <w:tc>
          <w:tcPr>
            <w:tcW w:w="3510" w:type="dxa"/>
            <w:vAlign w:val="center"/>
          </w:tcPr>
          <w:p w:rsidR="00764BAB" w:rsidRPr="006C455F" w:rsidRDefault="00764BAB" w:rsidP="000628FE">
            <w:pPr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Налоговые и неналоговые доходы</w:t>
            </w:r>
            <w:r w:rsidRPr="006C455F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:rsidR="00764BAB" w:rsidRPr="00BF1B4C" w:rsidRDefault="00764BAB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545591</w:t>
            </w:r>
          </w:p>
        </w:tc>
        <w:tc>
          <w:tcPr>
            <w:tcW w:w="1134" w:type="dxa"/>
            <w:vAlign w:val="center"/>
          </w:tcPr>
          <w:p w:rsidR="00764BAB" w:rsidRPr="00BF1B4C" w:rsidRDefault="00764BAB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123673</w:t>
            </w:r>
          </w:p>
        </w:tc>
        <w:tc>
          <w:tcPr>
            <w:tcW w:w="850" w:type="dxa"/>
            <w:vAlign w:val="center"/>
          </w:tcPr>
          <w:p w:rsidR="00764BAB" w:rsidRPr="00BF1B4C" w:rsidRDefault="00764BAB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134" w:type="dxa"/>
            <w:vAlign w:val="center"/>
          </w:tcPr>
          <w:p w:rsidR="00764BAB" w:rsidRPr="00BF1B4C" w:rsidRDefault="00764BAB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BF1B4C">
              <w:rPr>
                <w:bCs/>
                <w:iCs/>
                <w:color w:val="000000"/>
                <w:sz w:val="20"/>
                <w:szCs w:val="20"/>
              </w:rPr>
              <w:t>118168</w:t>
            </w:r>
          </w:p>
        </w:tc>
        <w:tc>
          <w:tcPr>
            <w:tcW w:w="851" w:type="dxa"/>
            <w:vAlign w:val="center"/>
          </w:tcPr>
          <w:p w:rsidR="00764BAB" w:rsidRPr="00BF1B4C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992" w:type="dxa"/>
            <w:vAlign w:val="center"/>
          </w:tcPr>
          <w:p w:rsidR="00764BAB" w:rsidRPr="00BF1B4C" w:rsidRDefault="00764BAB" w:rsidP="00A0342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+5505</w:t>
            </w:r>
          </w:p>
        </w:tc>
      </w:tr>
      <w:tr w:rsidR="00764BAB" w:rsidRPr="002C5C94" w:rsidTr="00764BAB">
        <w:tc>
          <w:tcPr>
            <w:tcW w:w="3510" w:type="dxa"/>
            <w:vAlign w:val="center"/>
          </w:tcPr>
          <w:p w:rsidR="00764BAB" w:rsidRPr="006C455F" w:rsidRDefault="00764BAB" w:rsidP="000628FE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BC17F4">
              <w:rPr>
                <w:b/>
                <w:i/>
                <w:sz w:val="20"/>
                <w:szCs w:val="20"/>
              </w:rPr>
              <w:t>алоговые доходы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511904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112922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100255</w:t>
            </w:r>
          </w:p>
        </w:tc>
        <w:tc>
          <w:tcPr>
            <w:tcW w:w="851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92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+12667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lastRenderedPageBreak/>
              <w:t>Налог на доходы физических лиц</w:t>
            </w:r>
            <w:r>
              <w:rPr>
                <w:color w:val="000000"/>
                <w:sz w:val="18"/>
                <w:szCs w:val="18"/>
              </w:rPr>
              <w:t xml:space="preserve"> (НДФЛ)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408250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93442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79380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+14062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24729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5382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5769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-387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  <w:r>
              <w:rPr>
                <w:color w:val="000000"/>
                <w:sz w:val="18"/>
                <w:szCs w:val="18"/>
              </w:rPr>
              <w:t xml:space="preserve"> (ЕНВД)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27761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7293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6682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+611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  <w:r>
              <w:rPr>
                <w:color w:val="000000"/>
                <w:sz w:val="18"/>
                <w:szCs w:val="18"/>
              </w:rPr>
              <w:t xml:space="preserve"> (ЕСХН)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-95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1" w:type="dxa"/>
            <w:vAlign w:val="center"/>
          </w:tcPr>
          <w:p w:rsidR="00764BAB" w:rsidRPr="00315D2B" w:rsidRDefault="009B3A80" w:rsidP="009B3A8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251,6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+335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15932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-334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26225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3231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4609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-1378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6794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-147</w:t>
            </w:r>
          </w:p>
        </w:tc>
      </w:tr>
      <w:tr w:rsidR="00764BAB" w:rsidRPr="002C5C94" w:rsidTr="00764BAB">
        <w:tc>
          <w:tcPr>
            <w:tcW w:w="3510" w:type="dxa"/>
            <w:vAlign w:val="center"/>
          </w:tcPr>
          <w:p w:rsidR="00764BAB" w:rsidRPr="006C455F" w:rsidRDefault="00764BAB" w:rsidP="005958D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BC17F4">
              <w:rPr>
                <w:b/>
                <w:i/>
                <w:sz w:val="20"/>
                <w:szCs w:val="20"/>
              </w:rPr>
              <w:t>еналоговые доходы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33687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10751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17913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A62E58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-7162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0987">
              <w:rPr>
                <w:sz w:val="18"/>
                <w:szCs w:val="18"/>
              </w:rPr>
              <w:t xml:space="preserve">оходы, получаемые в виде арендной платы за земельные участки, </w:t>
            </w:r>
            <w:proofErr w:type="spellStart"/>
            <w:r w:rsidRPr="00190987">
              <w:rPr>
                <w:sz w:val="18"/>
                <w:szCs w:val="18"/>
              </w:rPr>
              <w:t>гос</w:t>
            </w:r>
            <w:proofErr w:type="gramStart"/>
            <w:r w:rsidRPr="00190987">
              <w:rPr>
                <w:sz w:val="18"/>
                <w:szCs w:val="18"/>
              </w:rPr>
              <w:t>.с</w:t>
            </w:r>
            <w:proofErr w:type="gramEnd"/>
            <w:r w:rsidRPr="00190987">
              <w:rPr>
                <w:sz w:val="18"/>
                <w:szCs w:val="18"/>
              </w:rPr>
              <w:t>обственность</w:t>
            </w:r>
            <w:proofErr w:type="spellEnd"/>
            <w:r w:rsidRPr="00190987">
              <w:rPr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21300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12855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-9075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073A6B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0987">
              <w:rPr>
                <w:sz w:val="18"/>
                <w:szCs w:val="18"/>
              </w:rPr>
              <w:t xml:space="preserve">оходы от сдачи в аренду имущества, </w:t>
            </w:r>
            <w:r w:rsidR="00073A6B">
              <w:rPr>
                <w:sz w:val="18"/>
                <w:szCs w:val="18"/>
              </w:rPr>
              <w:t>составляющего казну городских округов</w:t>
            </w:r>
            <w:r w:rsidR="00F530A2">
              <w:rPr>
                <w:sz w:val="18"/>
                <w:szCs w:val="18"/>
              </w:rPr>
              <w:t xml:space="preserve"> (за исключением земельных участков)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5001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+228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F530A2" w:rsidP="00073A6B">
            <w:pPr>
              <w:rPr>
                <w:color w:val="000000"/>
                <w:sz w:val="18"/>
                <w:szCs w:val="18"/>
              </w:rPr>
            </w:pPr>
            <w:r w:rsidRPr="00F530A2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90987">
              <w:rPr>
                <w:sz w:val="18"/>
                <w:szCs w:val="18"/>
              </w:rPr>
              <w:t>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-296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9B3A8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B3A80">
              <w:rPr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+74</w:t>
            </w:r>
          </w:p>
        </w:tc>
      </w:tr>
      <w:tr w:rsidR="00764BAB" w:rsidRPr="002C5C94" w:rsidTr="00764BAB">
        <w:trPr>
          <w:trHeight w:val="421"/>
        </w:trPr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-80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-310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</w:t>
            </w:r>
          </w:p>
        </w:tc>
        <w:tc>
          <w:tcPr>
            <w:tcW w:w="850" w:type="dxa"/>
            <w:vAlign w:val="center"/>
          </w:tcPr>
          <w:p w:rsidR="00764BAB" w:rsidRDefault="009B3A80" w:rsidP="00A62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851" w:type="dxa"/>
            <w:vAlign w:val="center"/>
          </w:tcPr>
          <w:p w:rsidR="00764BAB" w:rsidRPr="00315D2B" w:rsidRDefault="009B3A80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335,1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+2325</w:t>
            </w:r>
          </w:p>
        </w:tc>
      </w:tr>
      <w:tr w:rsidR="00764BAB" w:rsidRPr="002C5C94" w:rsidTr="00764BAB">
        <w:tc>
          <w:tcPr>
            <w:tcW w:w="3510" w:type="dxa"/>
          </w:tcPr>
          <w:p w:rsidR="00764BAB" w:rsidRPr="00190987" w:rsidRDefault="00764BA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-154</w:t>
            </w:r>
          </w:p>
        </w:tc>
      </w:tr>
      <w:tr w:rsidR="00764BAB" w:rsidRPr="002C5C94" w:rsidTr="006841B8">
        <w:trPr>
          <w:trHeight w:val="287"/>
        </w:trPr>
        <w:tc>
          <w:tcPr>
            <w:tcW w:w="3510" w:type="dxa"/>
            <w:vAlign w:val="center"/>
          </w:tcPr>
          <w:p w:rsidR="00764BAB" w:rsidRPr="00190987" w:rsidRDefault="00764BAB" w:rsidP="006841B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+126</w:t>
            </w:r>
          </w:p>
        </w:tc>
      </w:tr>
      <w:tr w:rsidR="00764BAB" w:rsidRPr="002C5C94" w:rsidTr="00764BAB">
        <w:trPr>
          <w:trHeight w:val="296"/>
        </w:trPr>
        <w:tc>
          <w:tcPr>
            <w:tcW w:w="3510" w:type="dxa"/>
            <w:vAlign w:val="center"/>
          </w:tcPr>
          <w:p w:rsidR="00764BAB" w:rsidRPr="00BC17F4" w:rsidRDefault="00764BAB" w:rsidP="000628FE">
            <w:pPr>
              <w:widowControl w:val="0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Безвозмездные поступлени</w:t>
            </w:r>
            <w:r w:rsidR="008213FC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656479,09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139230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94839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146,8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+44391</w:t>
            </w:r>
          </w:p>
        </w:tc>
      </w:tr>
      <w:tr w:rsidR="00764BAB" w:rsidRPr="002C5C94" w:rsidTr="000628FE">
        <w:trPr>
          <w:trHeight w:val="295"/>
        </w:trPr>
        <w:tc>
          <w:tcPr>
            <w:tcW w:w="3510" w:type="dxa"/>
            <w:vAlign w:val="center"/>
          </w:tcPr>
          <w:p w:rsidR="00764BAB" w:rsidRPr="000B795E" w:rsidRDefault="00764BAB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дотации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9111,2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35714</w:t>
            </w:r>
          </w:p>
        </w:tc>
        <w:tc>
          <w:tcPr>
            <w:tcW w:w="850" w:type="dxa"/>
            <w:vAlign w:val="center"/>
          </w:tcPr>
          <w:p w:rsidR="00764BAB" w:rsidRDefault="009B3A80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392,0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 90,9 раза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+35321</w:t>
            </w:r>
          </w:p>
        </w:tc>
      </w:tr>
      <w:tr w:rsidR="00764BAB" w:rsidRPr="002C5C94" w:rsidTr="00764BAB">
        <w:trPr>
          <w:trHeight w:val="296"/>
        </w:trPr>
        <w:tc>
          <w:tcPr>
            <w:tcW w:w="3510" w:type="dxa"/>
            <w:vAlign w:val="center"/>
          </w:tcPr>
          <w:p w:rsidR="00764BAB" w:rsidRPr="000B795E" w:rsidRDefault="00764BAB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134828,49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64BAB" w:rsidRPr="002C5C94" w:rsidTr="00764BAB">
        <w:trPr>
          <w:trHeight w:val="296"/>
        </w:trPr>
        <w:tc>
          <w:tcPr>
            <w:tcW w:w="3510" w:type="dxa"/>
            <w:vAlign w:val="center"/>
          </w:tcPr>
          <w:p w:rsidR="00764BAB" w:rsidRPr="000B795E" w:rsidRDefault="00764BAB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субвенции</w:t>
            </w:r>
          </w:p>
        </w:tc>
        <w:tc>
          <w:tcPr>
            <w:tcW w:w="1276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512539,4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108797</w:t>
            </w:r>
          </w:p>
        </w:tc>
        <w:tc>
          <w:tcPr>
            <w:tcW w:w="850" w:type="dxa"/>
            <w:vAlign w:val="center"/>
          </w:tcPr>
          <w:p w:rsidR="00764BAB" w:rsidRDefault="00764BAB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134" w:type="dxa"/>
            <w:vAlign w:val="center"/>
          </w:tcPr>
          <w:p w:rsidR="00764BA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94999</w:t>
            </w:r>
          </w:p>
        </w:tc>
        <w:tc>
          <w:tcPr>
            <w:tcW w:w="851" w:type="dxa"/>
            <w:vAlign w:val="center"/>
          </w:tcPr>
          <w:p w:rsidR="00764BAB" w:rsidRPr="00315D2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992" w:type="dxa"/>
            <w:vAlign w:val="center"/>
          </w:tcPr>
          <w:p w:rsidR="00764BAB" w:rsidRPr="00315D2B" w:rsidRDefault="00764BAB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+13798</w:t>
            </w:r>
          </w:p>
        </w:tc>
      </w:tr>
    </w:tbl>
    <w:p w:rsidR="007A5A90" w:rsidRPr="007A5A90" w:rsidRDefault="007A5A90" w:rsidP="007A5A90">
      <w:pPr>
        <w:pStyle w:val="a3"/>
        <w:autoSpaceDE w:val="0"/>
        <w:autoSpaceDN w:val="0"/>
        <w:adjustRightInd w:val="0"/>
        <w:ind w:left="1068"/>
        <w:rPr>
          <w:rFonts w:eastAsia="Calibri"/>
          <w:b/>
          <w:i/>
        </w:rPr>
      </w:pPr>
    </w:p>
    <w:p w:rsidR="007A5A90" w:rsidRPr="0066160C" w:rsidRDefault="00D66D9A" w:rsidP="0066160C">
      <w:pPr>
        <w:pStyle w:val="a3"/>
        <w:numPr>
          <w:ilvl w:val="1"/>
          <w:numId w:val="13"/>
        </w:numPr>
        <w:autoSpaceDE w:val="0"/>
        <w:autoSpaceDN w:val="0"/>
        <w:adjustRightInd w:val="0"/>
        <w:ind w:firstLine="708"/>
        <w:rPr>
          <w:rFonts w:eastAsia="SimSun"/>
          <w:b/>
          <w:lang w:eastAsia="zh-CN"/>
        </w:rPr>
      </w:pPr>
      <w:r w:rsidRPr="0066160C">
        <w:rPr>
          <w:b/>
        </w:rPr>
        <w:t>Исполнение</w:t>
      </w:r>
      <w:r w:rsidR="0029539B" w:rsidRPr="0066160C">
        <w:rPr>
          <w:b/>
        </w:rPr>
        <w:t xml:space="preserve"> </w:t>
      </w:r>
      <w:r w:rsidRPr="0066160C">
        <w:rPr>
          <w:b/>
        </w:rPr>
        <w:t>н</w:t>
      </w:r>
      <w:r w:rsidRPr="0066160C">
        <w:rPr>
          <w:rFonts w:eastAsia="Calibri"/>
          <w:b/>
        </w:rPr>
        <w:t>алоговых и неналоговых доходов бюджета</w:t>
      </w:r>
    </w:p>
    <w:p w:rsidR="007A4718" w:rsidRDefault="007A4718" w:rsidP="00AB2513">
      <w:pPr>
        <w:ind w:firstLine="708"/>
        <w:jc w:val="both"/>
        <w:rPr>
          <w:rFonts w:eastAsia="SimSun"/>
          <w:lang w:eastAsia="zh-CN"/>
        </w:rPr>
      </w:pPr>
    </w:p>
    <w:p w:rsidR="007A5A90" w:rsidRDefault="007A5A90" w:rsidP="00AB2513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В структуре </w:t>
      </w:r>
      <w:r w:rsidR="00BF2EE5">
        <w:rPr>
          <w:rFonts w:eastAsia="SimSun"/>
          <w:lang w:eastAsia="zh-CN"/>
        </w:rPr>
        <w:t xml:space="preserve">исполнения </w:t>
      </w:r>
      <w:r>
        <w:rPr>
          <w:rFonts w:eastAsia="SimSun"/>
          <w:lang w:eastAsia="zh-CN"/>
        </w:rPr>
        <w:t xml:space="preserve">налоговых и неналоговых доходов </w:t>
      </w:r>
      <w:r w:rsidR="00C36768">
        <w:rPr>
          <w:rFonts w:eastAsia="SimSun"/>
          <w:lang w:eastAsia="zh-CN"/>
        </w:rPr>
        <w:t xml:space="preserve">основную долю занимают налоговые доходы – 91,3% </w:t>
      </w:r>
      <w:r w:rsidR="0033283E">
        <w:rPr>
          <w:rFonts w:eastAsia="SimSun"/>
          <w:lang w:eastAsia="zh-CN"/>
        </w:rPr>
        <w:t xml:space="preserve">или </w:t>
      </w:r>
      <w:r w:rsidR="00C36768">
        <w:rPr>
          <w:rFonts w:eastAsia="SimSun"/>
          <w:lang w:eastAsia="zh-CN"/>
        </w:rPr>
        <w:t>112922 тыс. руб., на неналоговые доходы приходится 8,7%</w:t>
      </w:r>
      <w:r w:rsidR="0033283E">
        <w:rPr>
          <w:rFonts w:eastAsia="SimSun"/>
          <w:lang w:eastAsia="zh-CN"/>
        </w:rPr>
        <w:t xml:space="preserve">, или </w:t>
      </w:r>
      <w:r w:rsidR="00C36768">
        <w:rPr>
          <w:rFonts w:eastAsia="SimSun"/>
          <w:lang w:eastAsia="zh-CN"/>
        </w:rPr>
        <w:t>10751 тыс. руб.</w:t>
      </w:r>
    </w:p>
    <w:p w:rsidR="00AB2513" w:rsidRPr="007E5979" w:rsidRDefault="00AB2513" w:rsidP="00AB2513">
      <w:pPr>
        <w:ind w:firstLine="708"/>
        <w:jc w:val="both"/>
        <w:rPr>
          <w:rFonts w:eastAsia="SimSun"/>
          <w:lang w:eastAsia="zh-CN"/>
        </w:rPr>
      </w:pPr>
      <w:r w:rsidRPr="00AB2513">
        <w:rPr>
          <w:rFonts w:eastAsia="SimSun"/>
          <w:lang w:eastAsia="zh-CN"/>
        </w:rPr>
        <w:t xml:space="preserve">План </w:t>
      </w:r>
      <w:r w:rsidRPr="007E5979">
        <w:rPr>
          <w:rFonts w:eastAsia="SimSun"/>
          <w:lang w:eastAsia="zh-CN"/>
        </w:rPr>
        <w:t xml:space="preserve">по </w:t>
      </w:r>
      <w:r w:rsidRPr="0033283E">
        <w:rPr>
          <w:rFonts w:eastAsia="SimSun"/>
          <w:b/>
          <w:lang w:eastAsia="zh-CN"/>
        </w:rPr>
        <w:t>налоговым доходам</w:t>
      </w:r>
      <w:r w:rsidRPr="007E5979">
        <w:rPr>
          <w:rFonts w:eastAsia="SimSun"/>
          <w:lang w:eastAsia="zh-CN"/>
        </w:rPr>
        <w:t>, утвержденный на 20</w:t>
      </w:r>
      <w:r w:rsidR="007A5A90" w:rsidRPr="007E5979">
        <w:rPr>
          <w:rFonts w:eastAsia="SimSun"/>
          <w:lang w:eastAsia="zh-CN"/>
        </w:rPr>
        <w:t>20</w:t>
      </w:r>
      <w:r w:rsidRPr="007E5979">
        <w:rPr>
          <w:rFonts w:eastAsia="SimSun"/>
          <w:lang w:eastAsia="zh-CN"/>
        </w:rPr>
        <w:t xml:space="preserve"> год в сумме </w:t>
      </w:r>
      <w:r w:rsidR="007A5A90" w:rsidRPr="007E5979">
        <w:rPr>
          <w:rFonts w:eastAsia="SimSun"/>
          <w:lang w:eastAsia="zh-CN"/>
        </w:rPr>
        <w:t>511904</w:t>
      </w:r>
      <w:r w:rsidRPr="007E5979">
        <w:rPr>
          <w:bCs/>
          <w:iCs/>
          <w:color w:val="000000"/>
        </w:rPr>
        <w:t xml:space="preserve"> </w:t>
      </w:r>
      <w:r w:rsidRPr="007E5979">
        <w:rPr>
          <w:rFonts w:eastAsia="SimSun"/>
          <w:lang w:eastAsia="zh-CN"/>
        </w:rPr>
        <w:t>тыс. руб., исполнен за 1 квартал 20</w:t>
      </w:r>
      <w:r w:rsidR="007A5A90" w:rsidRPr="007E5979">
        <w:rPr>
          <w:rFonts w:eastAsia="SimSun"/>
          <w:lang w:eastAsia="zh-CN"/>
        </w:rPr>
        <w:t>20</w:t>
      </w:r>
      <w:r w:rsidRPr="007E5979">
        <w:rPr>
          <w:rFonts w:eastAsia="SimSun"/>
          <w:lang w:eastAsia="zh-CN"/>
        </w:rPr>
        <w:t xml:space="preserve"> года в сумме </w:t>
      </w:r>
      <w:r w:rsidRPr="007E5979">
        <w:rPr>
          <w:bCs/>
          <w:lang w:eastAsia="en-US"/>
        </w:rPr>
        <w:t>1</w:t>
      </w:r>
      <w:r w:rsidR="007A5A90" w:rsidRPr="007E5979">
        <w:rPr>
          <w:bCs/>
          <w:lang w:eastAsia="en-US"/>
        </w:rPr>
        <w:t>12922</w:t>
      </w:r>
      <w:r w:rsidRPr="007E5979">
        <w:t xml:space="preserve"> тыс.</w:t>
      </w:r>
      <w:r w:rsidR="007A5A90" w:rsidRPr="007E5979">
        <w:t xml:space="preserve"> </w:t>
      </w:r>
      <w:r w:rsidRPr="007E5979">
        <w:t>руб.</w:t>
      </w:r>
      <w:r w:rsidR="00C01488">
        <w:t xml:space="preserve"> или </w:t>
      </w:r>
      <w:r w:rsidR="00C01488" w:rsidRPr="007E5979">
        <w:rPr>
          <w:rFonts w:eastAsia="SimSun"/>
          <w:lang w:eastAsia="zh-CN"/>
        </w:rPr>
        <w:t>на 22,1%</w:t>
      </w:r>
      <w:r w:rsidRPr="007E5979">
        <w:rPr>
          <w:rFonts w:eastAsia="SimSun"/>
          <w:lang w:eastAsia="zh-CN"/>
        </w:rPr>
        <w:t xml:space="preserve">, что на </w:t>
      </w:r>
      <w:r w:rsidR="007A5A90" w:rsidRPr="007E5979">
        <w:rPr>
          <w:rFonts w:eastAsia="SimSun"/>
          <w:lang w:eastAsia="zh-CN"/>
        </w:rPr>
        <w:t>12667</w:t>
      </w:r>
      <w:r w:rsidRPr="007E5979">
        <w:rPr>
          <w:color w:val="000000"/>
        </w:rPr>
        <w:t xml:space="preserve"> </w:t>
      </w:r>
      <w:r w:rsidRPr="007E5979">
        <w:t>тыс. руб. или на 1</w:t>
      </w:r>
      <w:r w:rsidR="007A5A90" w:rsidRPr="007E5979">
        <w:t>2,6</w:t>
      </w:r>
      <w:r w:rsidRPr="007E5979">
        <w:t xml:space="preserve">% </w:t>
      </w:r>
      <w:r w:rsidRPr="007E5979">
        <w:rPr>
          <w:rFonts w:eastAsia="SimSun"/>
          <w:lang w:eastAsia="zh-CN"/>
        </w:rPr>
        <w:t xml:space="preserve">выше поступлений </w:t>
      </w:r>
      <w:r w:rsidRPr="007E5979">
        <w:rPr>
          <w:rFonts w:eastAsia="SimSun"/>
          <w:color w:val="000000"/>
          <w:lang w:eastAsia="zh-CN"/>
        </w:rPr>
        <w:t>за соответствующий период 201</w:t>
      </w:r>
      <w:r w:rsidR="007A5A90" w:rsidRPr="007E5979">
        <w:rPr>
          <w:rFonts w:eastAsia="SimSun"/>
          <w:color w:val="000000"/>
          <w:lang w:eastAsia="zh-CN"/>
        </w:rPr>
        <w:t>9</w:t>
      </w:r>
      <w:r w:rsidRPr="007E5979">
        <w:rPr>
          <w:rFonts w:eastAsia="SimSun"/>
          <w:color w:val="000000"/>
          <w:lang w:eastAsia="zh-CN"/>
        </w:rPr>
        <w:t xml:space="preserve"> года.</w:t>
      </w:r>
    </w:p>
    <w:p w:rsidR="00C36768" w:rsidRPr="007E5979" w:rsidRDefault="00C36768" w:rsidP="00C46FB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7E5979">
        <w:t>В сравнении с прошлым годом у</w:t>
      </w:r>
      <w:r w:rsidR="00C46FBC" w:rsidRPr="007E5979">
        <w:t>велич</w:t>
      </w:r>
      <w:r w:rsidRPr="007E5979">
        <w:t xml:space="preserve">ение </w:t>
      </w:r>
      <w:r w:rsidR="00C46FBC" w:rsidRPr="007E5979">
        <w:t>поступлени</w:t>
      </w:r>
      <w:r w:rsidRPr="007E5979">
        <w:t>й</w:t>
      </w:r>
      <w:r w:rsidR="00C46FBC" w:rsidRPr="007E5979">
        <w:t xml:space="preserve"> </w:t>
      </w:r>
      <w:r w:rsidR="004E21E9" w:rsidRPr="007E5979">
        <w:t>в</w:t>
      </w:r>
      <w:r w:rsidR="00C46FBC" w:rsidRPr="007E5979">
        <w:t xml:space="preserve"> 1 квартал</w:t>
      </w:r>
      <w:r w:rsidR="004E21E9" w:rsidRPr="007E5979">
        <w:t>е</w:t>
      </w:r>
      <w:r w:rsidR="00C46FBC" w:rsidRPr="007E5979">
        <w:t xml:space="preserve"> 20</w:t>
      </w:r>
      <w:r w:rsidR="00C01488">
        <w:t>20</w:t>
      </w:r>
      <w:r w:rsidR="00C46FBC" w:rsidRPr="007E5979">
        <w:t xml:space="preserve"> года </w:t>
      </w:r>
      <w:r w:rsidRPr="007E5979">
        <w:t xml:space="preserve">произошло по </w:t>
      </w:r>
      <w:r w:rsidR="00C46FBC" w:rsidRPr="007E5979">
        <w:t>налоговы</w:t>
      </w:r>
      <w:r w:rsidRPr="007E5979">
        <w:t>м</w:t>
      </w:r>
      <w:r w:rsidR="00C46FBC" w:rsidRPr="007E5979">
        <w:t xml:space="preserve"> источник</w:t>
      </w:r>
      <w:r w:rsidRPr="007E5979">
        <w:t>ам</w:t>
      </w:r>
      <w:r w:rsidR="00C46FBC" w:rsidRPr="007E5979">
        <w:t xml:space="preserve">: </w:t>
      </w:r>
      <w:r w:rsidR="00BF2EE5" w:rsidRPr="007E5979">
        <w:t>НДФЛ</w:t>
      </w:r>
      <w:r w:rsidRPr="007E5979">
        <w:rPr>
          <w:color w:val="000000"/>
        </w:rPr>
        <w:t xml:space="preserve"> (на 17,7%)</w:t>
      </w:r>
      <w:r w:rsidR="00C46FBC" w:rsidRPr="007E5979">
        <w:rPr>
          <w:color w:val="000000"/>
        </w:rPr>
        <w:t>;</w:t>
      </w:r>
      <w:r w:rsidR="00C46FBC" w:rsidRPr="007E5979">
        <w:t xml:space="preserve"> </w:t>
      </w:r>
      <w:r w:rsidRPr="007E5979">
        <w:t xml:space="preserve">ЕНВД (на 9,1%), </w:t>
      </w:r>
      <w:r w:rsidR="00C46FBC" w:rsidRPr="007E5979">
        <w:rPr>
          <w:color w:val="000000"/>
        </w:rPr>
        <w:t>налог, взимаемый в связи с применением патентной системы налогообложения</w:t>
      </w:r>
      <w:r w:rsidRPr="007E5979">
        <w:rPr>
          <w:color w:val="000000"/>
        </w:rPr>
        <w:t xml:space="preserve"> (в 2,5 раза).</w:t>
      </w:r>
    </w:p>
    <w:p w:rsidR="00BF2EE5" w:rsidRPr="007E5979" w:rsidRDefault="004E21E9" w:rsidP="00BF2EE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7E5979">
        <w:t>Снизились поступления по сравнению с 1 кварталом 201</w:t>
      </w:r>
      <w:r w:rsidR="00C36768" w:rsidRPr="007E5979">
        <w:t>9</w:t>
      </w:r>
      <w:r w:rsidRPr="007E5979">
        <w:t xml:space="preserve"> года: </w:t>
      </w:r>
      <w:r w:rsidR="00C36768" w:rsidRPr="007E5979">
        <w:t>акциз</w:t>
      </w:r>
      <w:r w:rsidR="00BF2EE5" w:rsidRPr="007E5979">
        <w:t>ы</w:t>
      </w:r>
      <w:r w:rsidR="00C36768" w:rsidRPr="007E5979">
        <w:t xml:space="preserve"> по подакцизным товарам (на 6,7%), </w:t>
      </w:r>
      <w:r w:rsidRPr="007E5979">
        <w:t>ЕСХН</w:t>
      </w:r>
      <w:r w:rsidR="00C36768" w:rsidRPr="007E5979">
        <w:t xml:space="preserve"> (на 9,6%)</w:t>
      </w:r>
      <w:r w:rsidRPr="007E5979">
        <w:t>, налог на имущество физических лиц</w:t>
      </w:r>
      <w:r w:rsidR="00C36768" w:rsidRPr="007E5979">
        <w:t xml:space="preserve"> (на 30%)</w:t>
      </w:r>
      <w:r w:rsidR="00BF2EE5" w:rsidRPr="007E5979">
        <w:t xml:space="preserve">, </w:t>
      </w:r>
      <w:r w:rsidR="00BF2EE5" w:rsidRPr="007E5979">
        <w:rPr>
          <w:color w:val="000000"/>
        </w:rPr>
        <w:t xml:space="preserve">земельный налог (на 29,9%), </w:t>
      </w:r>
      <w:r w:rsidR="00BF2EE5" w:rsidRPr="007E5979">
        <w:t>государственная пошлина (</w:t>
      </w:r>
      <w:proofErr w:type="gramStart"/>
      <w:r w:rsidR="00BF2EE5" w:rsidRPr="007E5979">
        <w:t>на</w:t>
      </w:r>
      <w:proofErr w:type="gramEnd"/>
      <w:r w:rsidR="00BF2EE5" w:rsidRPr="007E5979">
        <w:t xml:space="preserve"> 9,9%). </w:t>
      </w:r>
    </w:p>
    <w:p w:rsidR="000D7E29" w:rsidRPr="007E5979" w:rsidRDefault="000D7E29" w:rsidP="000D7E29">
      <w:pPr>
        <w:ind w:firstLine="709"/>
        <w:jc w:val="both"/>
      </w:pPr>
      <w:r w:rsidRPr="007E5979">
        <w:t>В 1 квартале 2020 года основными источник</w:t>
      </w:r>
      <w:r w:rsidR="00764BAB">
        <w:t>о</w:t>
      </w:r>
      <w:r w:rsidRPr="007E5979">
        <w:t xml:space="preserve">м налоговых поступлений является налог на доходы физических лиц  (НДФЛ) </w:t>
      </w:r>
      <w:r w:rsidR="00443E66">
        <w:t>и составил</w:t>
      </w:r>
      <w:r w:rsidRPr="007E5979">
        <w:t xml:space="preserve"> 82,7%.</w:t>
      </w:r>
    </w:p>
    <w:p w:rsidR="00832B6B" w:rsidRPr="007E5979" w:rsidRDefault="005174B8" w:rsidP="004E21E9">
      <w:pPr>
        <w:pStyle w:val="Default"/>
        <w:ind w:firstLine="709"/>
        <w:jc w:val="both"/>
      </w:pPr>
      <w:r w:rsidRPr="0033283E">
        <w:rPr>
          <w:b/>
        </w:rPr>
        <w:lastRenderedPageBreak/>
        <w:t>НДФЛ</w:t>
      </w:r>
      <w:r>
        <w:t xml:space="preserve"> - и</w:t>
      </w:r>
      <w:r w:rsidR="004E21E9" w:rsidRPr="007E5979">
        <w:t xml:space="preserve">сполнение бюджетных назначений составило </w:t>
      </w:r>
      <w:r w:rsidR="00BF2EE5" w:rsidRPr="007E5979">
        <w:t>93442</w:t>
      </w:r>
      <w:r w:rsidR="004E21E9" w:rsidRPr="007E5979">
        <w:t xml:space="preserve"> тыс. руб.</w:t>
      </w:r>
      <w:r w:rsidR="004E21E9" w:rsidRPr="007E5979">
        <w:rPr>
          <w:rFonts w:eastAsia="Calibri"/>
        </w:rPr>
        <w:t xml:space="preserve">, </w:t>
      </w:r>
      <w:r w:rsidR="004E21E9" w:rsidRPr="007E5979">
        <w:rPr>
          <w:spacing w:val="-2"/>
        </w:rPr>
        <w:t xml:space="preserve">или </w:t>
      </w:r>
      <w:r w:rsidR="004E21E9" w:rsidRPr="007E5979">
        <w:rPr>
          <w:rFonts w:eastAsia="Calibri"/>
        </w:rPr>
        <w:t>22,</w:t>
      </w:r>
      <w:r w:rsidR="00BF2EE5" w:rsidRPr="007E5979">
        <w:rPr>
          <w:rFonts w:eastAsia="Calibri"/>
        </w:rPr>
        <w:t>9</w:t>
      </w:r>
      <w:r w:rsidR="004E21E9" w:rsidRPr="007E5979">
        <w:rPr>
          <w:spacing w:val="-2"/>
        </w:rPr>
        <w:t xml:space="preserve"> % от  </w:t>
      </w:r>
      <w:r w:rsidR="004E21E9" w:rsidRPr="007E5979">
        <w:t xml:space="preserve">годового прогноза </w:t>
      </w:r>
      <w:r w:rsidR="00BF2EE5" w:rsidRPr="007E5979">
        <w:t>(408250</w:t>
      </w:r>
      <w:r w:rsidR="004E21E9" w:rsidRPr="007E5979">
        <w:rPr>
          <w:bCs/>
        </w:rPr>
        <w:t xml:space="preserve"> тыс.</w:t>
      </w:r>
      <w:r w:rsidR="00BF2EE5" w:rsidRPr="007E5979">
        <w:rPr>
          <w:bCs/>
        </w:rPr>
        <w:t xml:space="preserve"> </w:t>
      </w:r>
      <w:r w:rsidR="004E21E9" w:rsidRPr="007E5979">
        <w:rPr>
          <w:bCs/>
        </w:rPr>
        <w:t>руб.</w:t>
      </w:r>
      <w:r w:rsidR="00BF2EE5" w:rsidRPr="007E5979">
        <w:rPr>
          <w:bCs/>
        </w:rPr>
        <w:t>)</w:t>
      </w:r>
      <w:r w:rsidR="004E21E9" w:rsidRPr="007E5979">
        <w:t>, что на 1</w:t>
      </w:r>
      <w:r w:rsidR="00BF2EE5" w:rsidRPr="007E5979">
        <w:t>4062</w:t>
      </w:r>
      <w:r w:rsidR="004E21E9" w:rsidRPr="007E5979">
        <w:t xml:space="preserve"> тыс.</w:t>
      </w:r>
      <w:r w:rsidR="00BF2EE5" w:rsidRPr="007E5979">
        <w:t xml:space="preserve"> </w:t>
      </w:r>
      <w:r w:rsidR="004E21E9" w:rsidRPr="007E5979">
        <w:t>руб.</w:t>
      </w:r>
      <w:r w:rsidR="004E21E9" w:rsidRPr="007E5979">
        <w:rPr>
          <w:rFonts w:eastAsia="Calibri"/>
        </w:rPr>
        <w:t>, или на 1</w:t>
      </w:r>
      <w:r w:rsidR="00BF2EE5" w:rsidRPr="007E5979">
        <w:rPr>
          <w:rFonts w:eastAsia="Calibri"/>
        </w:rPr>
        <w:t>7</w:t>
      </w:r>
      <w:r w:rsidR="004E21E9" w:rsidRPr="007E5979">
        <w:rPr>
          <w:rFonts w:eastAsia="Calibri"/>
        </w:rPr>
        <w:t>,</w:t>
      </w:r>
      <w:r w:rsidR="00BF2EE5" w:rsidRPr="007E5979">
        <w:rPr>
          <w:rFonts w:eastAsia="Calibri"/>
        </w:rPr>
        <w:t>7</w:t>
      </w:r>
      <w:r w:rsidR="004E21E9" w:rsidRPr="007E5979">
        <w:rPr>
          <w:rFonts w:eastAsia="Calibri"/>
        </w:rPr>
        <w:t xml:space="preserve">% </w:t>
      </w:r>
      <w:r w:rsidR="004E21E9" w:rsidRPr="007E5979">
        <w:t>больше объема поступлений за аналогичный период 201</w:t>
      </w:r>
      <w:r w:rsidR="00BF2EE5" w:rsidRPr="007E5979">
        <w:t>9</w:t>
      </w:r>
      <w:r w:rsidR="004E21E9" w:rsidRPr="007E5979">
        <w:t xml:space="preserve"> года (</w:t>
      </w:r>
      <w:r w:rsidR="00BF2EE5" w:rsidRPr="007E5979">
        <w:t>79380</w:t>
      </w:r>
      <w:r w:rsidR="004E21E9" w:rsidRPr="007E5979">
        <w:t xml:space="preserve"> тыс. руб.).</w:t>
      </w:r>
      <w:r w:rsidR="000D7E29" w:rsidRPr="007E5979">
        <w:t xml:space="preserve"> </w:t>
      </w:r>
      <w:r w:rsidR="004E21E9" w:rsidRPr="007E5979">
        <w:t xml:space="preserve">Рост поступлений обусловлен </w:t>
      </w:r>
      <w:r w:rsidR="005D4D22" w:rsidRPr="007E5979">
        <w:t xml:space="preserve">увеличением </w:t>
      </w:r>
      <w:r w:rsidR="000D7E29" w:rsidRPr="007E5979">
        <w:t>в</w:t>
      </w:r>
      <w:r w:rsidR="00832B6B" w:rsidRPr="007E5979">
        <w:t xml:space="preserve"> 2019 год</w:t>
      </w:r>
      <w:r w:rsidR="000D7E29" w:rsidRPr="007E5979">
        <w:t>у</w:t>
      </w:r>
      <w:r w:rsidR="00832B6B" w:rsidRPr="007E5979">
        <w:t xml:space="preserve"> размера дополнительного норматива отчислений от НДФЛ в бюджет Лесозаводского городского округа (2020 год – 38,8804%, 2019 год - 35,7511%)</w:t>
      </w:r>
      <w:r w:rsidR="005D4D22" w:rsidRPr="007E5979">
        <w:t xml:space="preserve"> и повышением заработной платы</w:t>
      </w:r>
      <w:r w:rsidR="00832B6B" w:rsidRPr="007E5979">
        <w:t>.</w:t>
      </w:r>
    </w:p>
    <w:p w:rsidR="000D7E29" w:rsidRPr="007E5979" w:rsidRDefault="005174B8" w:rsidP="00CC2803">
      <w:pPr>
        <w:overflowPunct w:val="0"/>
        <w:autoSpaceDE w:val="0"/>
        <w:autoSpaceDN w:val="0"/>
        <w:adjustRightInd w:val="0"/>
        <w:ind w:firstLine="709"/>
        <w:jc w:val="both"/>
      </w:pPr>
      <w:r w:rsidRPr="0033283E">
        <w:rPr>
          <w:b/>
        </w:rPr>
        <w:t>Акцизы</w:t>
      </w:r>
      <w:r>
        <w:t xml:space="preserve"> - и</w:t>
      </w:r>
      <w:r w:rsidR="00CC2803" w:rsidRPr="007E5979">
        <w:t xml:space="preserve">сполнение бюджетных назначений </w:t>
      </w:r>
      <w:r w:rsidR="00CC2803" w:rsidRPr="007E5979">
        <w:rPr>
          <w:rFonts w:eastAsia="Calibri"/>
        </w:rPr>
        <w:t>составило 5</w:t>
      </w:r>
      <w:r w:rsidR="000D7E29" w:rsidRPr="007E5979">
        <w:rPr>
          <w:rFonts w:eastAsia="Calibri"/>
        </w:rPr>
        <w:t xml:space="preserve">382 </w:t>
      </w:r>
      <w:r w:rsidR="00CC2803" w:rsidRPr="007E5979">
        <w:rPr>
          <w:rFonts w:eastAsia="Calibri"/>
        </w:rPr>
        <w:t>тыс.</w:t>
      </w:r>
      <w:r w:rsidR="000D7E29" w:rsidRPr="007E5979">
        <w:rPr>
          <w:rFonts w:eastAsia="Calibri"/>
        </w:rPr>
        <w:t xml:space="preserve"> </w:t>
      </w:r>
      <w:r w:rsidR="00CC2803" w:rsidRPr="007E5979">
        <w:rPr>
          <w:rFonts w:eastAsia="Calibri"/>
        </w:rPr>
        <w:t>руб., или 2</w:t>
      </w:r>
      <w:r w:rsidR="000D7E29" w:rsidRPr="007E5979">
        <w:rPr>
          <w:rFonts w:eastAsia="Calibri"/>
        </w:rPr>
        <w:t>1</w:t>
      </w:r>
      <w:r w:rsidR="00CC2803" w:rsidRPr="007E5979">
        <w:rPr>
          <w:rFonts w:eastAsia="Calibri"/>
        </w:rPr>
        <w:t>,</w:t>
      </w:r>
      <w:r w:rsidR="000D7E29" w:rsidRPr="007E5979">
        <w:rPr>
          <w:rFonts w:eastAsia="Calibri"/>
        </w:rPr>
        <w:t>8</w:t>
      </w:r>
      <w:r w:rsidR="00CC2803" w:rsidRPr="007E5979">
        <w:rPr>
          <w:rFonts w:eastAsia="Calibri"/>
        </w:rPr>
        <w:t xml:space="preserve">% </w:t>
      </w:r>
      <w:r w:rsidR="00CC2803" w:rsidRPr="007E5979">
        <w:rPr>
          <w:spacing w:val="-2"/>
        </w:rPr>
        <w:t xml:space="preserve">от  </w:t>
      </w:r>
      <w:r w:rsidR="00CC2803" w:rsidRPr="007E5979">
        <w:t xml:space="preserve">годового прогноза </w:t>
      </w:r>
      <w:r w:rsidR="000D7E29" w:rsidRPr="007E5979">
        <w:t>(24729</w:t>
      </w:r>
      <w:r w:rsidR="00CC2803" w:rsidRPr="007E5979">
        <w:rPr>
          <w:color w:val="000000"/>
        </w:rPr>
        <w:t xml:space="preserve"> тыс.</w:t>
      </w:r>
      <w:r w:rsidR="000D7E29" w:rsidRPr="007E5979">
        <w:rPr>
          <w:color w:val="000000"/>
        </w:rPr>
        <w:t xml:space="preserve"> </w:t>
      </w:r>
      <w:r w:rsidR="00CC2803" w:rsidRPr="007E5979">
        <w:rPr>
          <w:color w:val="000000"/>
        </w:rPr>
        <w:t>руб.</w:t>
      </w:r>
      <w:r w:rsidR="000D7E29" w:rsidRPr="007E5979">
        <w:rPr>
          <w:color w:val="000000"/>
        </w:rPr>
        <w:t>)</w:t>
      </w:r>
      <w:r w:rsidR="00CC2803" w:rsidRPr="007E5979">
        <w:rPr>
          <w:color w:val="000000"/>
        </w:rPr>
        <w:t xml:space="preserve">, </w:t>
      </w:r>
      <w:r w:rsidR="00CC2803" w:rsidRPr="007E5979">
        <w:t xml:space="preserve">что на </w:t>
      </w:r>
      <w:r w:rsidR="000D7E29" w:rsidRPr="007E5979">
        <w:t>387</w:t>
      </w:r>
      <w:r w:rsidR="00CC2803" w:rsidRPr="007E5979">
        <w:rPr>
          <w:rFonts w:eastAsia="Calibri"/>
        </w:rPr>
        <w:t xml:space="preserve"> тыс.</w:t>
      </w:r>
      <w:r w:rsidR="000D7E29" w:rsidRPr="007E5979">
        <w:rPr>
          <w:rFonts w:eastAsia="Calibri"/>
        </w:rPr>
        <w:t xml:space="preserve"> </w:t>
      </w:r>
      <w:r w:rsidR="00CC2803" w:rsidRPr="007E5979">
        <w:rPr>
          <w:rFonts w:eastAsia="Calibri"/>
        </w:rPr>
        <w:t xml:space="preserve">руб., или на </w:t>
      </w:r>
      <w:r w:rsidR="000D7E29" w:rsidRPr="007E5979">
        <w:rPr>
          <w:rFonts w:eastAsia="Calibri"/>
        </w:rPr>
        <w:t>6,7</w:t>
      </w:r>
      <w:r w:rsidR="00CC2803" w:rsidRPr="007E5979">
        <w:rPr>
          <w:rFonts w:eastAsia="Calibri"/>
        </w:rPr>
        <w:t xml:space="preserve">% </w:t>
      </w:r>
      <w:r w:rsidR="000D7E29" w:rsidRPr="007E5979">
        <w:rPr>
          <w:rFonts w:eastAsia="Calibri"/>
        </w:rPr>
        <w:t>меньше</w:t>
      </w:r>
      <w:r w:rsidR="00CC2803" w:rsidRPr="007E5979">
        <w:t xml:space="preserve">  поступлений за аналогичный период 201</w:t>
      </w:r>
      <w:r w:rsidR="000D7E29" w:rsidRPr="007E5979">
        <w:t>9</w:t>
      </w:r>
      <w:r w:rsidR="00CC2803" w:rsidRPr="007E5979">
        <w:t xml:space="preserve"> года (</w:t>
      </w:r>
      <w:r w:rsidR="000D7E29" w:rsidRPr="007E5979">
        <w:t>5769</w:t>
      </w:r>
      <w:r w:rsidR="00CC2803" w:rsidRPr="007E5979">
        <w:rPr>
          <w:color w:val="000000"/>
        </w:rPr>
        <w:t xml:space="preserve"> </w:t>
      </w:r>
      <w:r w:rsidR="00CC2803" w:rsidRPr="007E5979">
        <w:t>тыс. руб.)</w:t>
      </w:r>
      <w:r w:rsidR="0055659F" w:rsidRPr="007E5979">
        <w:t xml:space="preserve"> за счет снижения в 2020 году дополнительного норматива (2020год- 0,37818%, 2019год – 0,37964%)</w:t>
      </w:r>
      <w:r w:rsidR="00CC2803" w:rsidRPr="007E5979">
        <w:t>.</w:t>
      </w:r>
    </w:p>
    <w:p w:rsidR="0056620E" w:rsidRPr="007E5979" w:rsidRDefault="005174B8" w:rsidP="0055659F">
      <w:pPr>
        <w:overflowPunct w:val="0"/>
        <w:autoSpaceDE w:val="0"/>
        <w:autoSpaceDN w:val="0"/>
        <w:adjustRightInd w:val="0"/>
        <w:ind w:firstLine="709"/>
        <w:jc w:val="both"/>
      </w:pPr>
      <w:r w:rsidRPr="0033283E">
        <w:rPr>
          <w:b/>
        </w:rPr>
        <w:t>Единый налог</w:t>
      </w:r>
      <w:r>
        <w:t xml:space="preserve"> на вмененный доход (ЕНВД) - п</w:t>
      </w:r>
      <w:r w:rsidR="0055659F" w:rsidRPr="007E5979">
        <w:t xml:space="preserve">оступление доходов от </w:t>
      </w:r>
      <w:r w:rsidR="00C118D9" w:rsidRPr="007E5979">
        <w:t>налог</w:t>
      </w:r>
      <w:r w:rsidR="00E9129A" w:rsidRPr="007E5979">
        <w:t>а</w:t>
      </w:r>
      <w:r w:rsidR="00C118D9" w:rsidRPr="007E5979">
        <w:t xml:space="preserve"> </w:t>
      </w:r>
      <w:r w:rsidR="00F142D1" w:rsidRPr="007E5979">
        <w:t xml:space="preserve">составило </w:t>
      </w:r>
      <w:r w:rsidR="00026275" w:rsidRPr="007E5979">
        <w:t>7293</w:t>
      </w:r>
      <w:r w:rsidR="00CC2803" w:rsidRPr="007E5979">
        <w:rPr>
          <w:color w:val="000000"/>
        </w:rPr>
        <w:t xml:space="preserve"> </w:t>
      </w:r>
      <w:r w:rsidR="00F142D1" w:rsidRPr="007E5979">
        <w:t xml:space="preserve">тыс. руб. или </w:t>
      </w:r>
      <w:r w:rsidR="00CC2803" w:rsidRPr="007E5979">
        <w:t>2</w:t>
      </w:r>
      <w:r w:rsidR="00026275" w:rsidRPr="007E5979">
        <w:t>6</w:t>
      </w:r>
      <w:r w:rsidR="00CC2803" w:rsidRPr="007E5979">
        <w:t>,</w:t>
      </w:r>
      <w:r w:rsidR="00026275" w:rsidRPr="007E5979">
        <w:t>4</w:t>
      </w:r>
      <w:r w:rsidR="00F142D1" w:rsidRPr="007E5979">
        <w:t xml:space="preserve">% от годового объема плановых назначений </w:t>
      </w:r>
      <w:r w:rsidR="00026275" w:rsidRPr="007E5979">
        <w:t>(27761</w:t>
      </w:r>
      <w:r w:rsidR="00CC2803" w:rsidRPr="007E5979">
        <w:t xml:space="preserve"> </w:t>
      </w:r>
      <w:r w:rsidR="00F142D1" w:rsidRPr="007E5979">
        <w:t>тыс. руб.</w:t>
      </w:r>
      <w:r w:rsidR="00026275" w:rsidRPr="007E5979">
        <w:t>)</w:t>
      </w:r>
      <w:r w:rsidR="00F142D1" w:rsidRPr="007E5979">
        <w:t xml:space="preserve">, </w:t>
      </w:r>
      <w:r w:rsidR="00026275" w:rsidRPr="007E5979">
        <w:t>в сравнении с прошлым годом (6682 тыс. руб.) объем поступлений увеличился на 611</w:t>
      </w:r>
      <w:r w:rsidR="00F142D1" w:rsidRPr="007E5979">
        <w:t xml:space="preserve"> тыс. руб. или на </w:t>
      </w:r>
      <w:r w:rsidR="00026275" w:rsidRPr="007E5979">
        <w:t>9</w:t>
      </w:r>
      <w:r w:rsidR="00CC2803" w:rsidRPr="007E5979">
        <w:t>,</w:t>
      </w:r>
      <w:r w:rsidR="00026275" w:rsidRPr="007E5979">
        <w:t>1</w:t>
      </w:r>
      <w:r w:rsidR="00F142D1" w:rsidRPr="007E5979">
        <w:t>%</w:t>
      </w:r>
      <w:r w:rsidR="00E9129A" w:rsidRPr="007E5979">
        <w:t>;</w:t>
      </w:r>
    </w:p>
    <w:p w:rsidR="00544EEB" w:rsidRPr="007E5979" w:rsidRDefault="005174B8" w:rsidP="00530526">
      <w:pPr>
        <w:ind w:firstLine="709"/>
        <w:jc w:val="both"/>
      </w:pPr>
      <w:r w:rsidRPr="0033283E">
        <w:rPr>
          <w:b/>
        </w:rPr>
        <w:t>ЕСХН</w:t>
      </w:r>
      <w:r>
        <w:t xml:space="preserve"> - и</w:t>
      </w:r>
      <w:r w:rsidR="00544EEB" w:rsidRPr="007E5979">
        <w:t xml:space="preserve">сполнение бюджетных назначений составило </w:t>
      </w:r>
      <w:r w:rsidR="001E08AC" w:rsidRPr="007E5979">
        <w:t>898</w:t>
      </w:r>
      <w:r w:rsidR="00544EEB" w:rsidRPr="007E5979">
        <w:rPr>
          <w:color w:val="000000"/>
        </w:rPr>
        <w:t xml:space="preserve"> </w:t>
      </w:r>
      <w:r w:rsidR="00544EEB" w:rsidRPr="007E5979">
        <w:t xml:space="preserve">тыс. руб. или </w:t>
      </w:r>
      <w:r w:rsidR="001E08AC" w:rsidRPr="007E5979">
        <w:t>62</w:t>
      </w:r>
      <w:r w:rsidR="00CC2803" w:rsidRPr="007E5979">
        <w:t>,</w:t>
      </w:r>
      <w:r w:rsidR="001E08AC" w:rsidRPr="007E5979">
        <w:t>1</w:t>
      </w:r>
      <w:r w:rsidR="00544EEB" w:rsidRPr="007E5979">
        <w:t xml:space="preserve">% от годового объема плановых назначений </w:t>
      </w:r>
      <w:r w:rsidR="001E08AC" w:rsidRPr="007E5979">
        <w:t>(1446 тыс. руб.)</w:t>
      </w:r>
      <w:r w:rsidR="003841CC" w:rsidRPr="007E5979">
        <w:t>. Следует отметить</w:t>
      </w:r>
      <w:r w:rsidR="001E08AC" w:rsidRPr="007E5979">
        <w:t xml:space="preserve">, </w:t>
      </w:r>
      <w:r w:rsidR="00530526" w:rsidRPr="007E5979">
        <w:t xml:space="preserve">что </w:t>
      </w:r>
      <w:r w:rsidR="003841CC" w:rsidRPr="007E5979">
        <w:t xml:space="preserve">плановые показатели </w:t>
      </w:r>
      <w:r w:rsidR="00530526" w:rsidRPr="007E5979">
        <w:t xml:space="preserve">на 2020 год ниже показателей </w:t>
      </w:r>
      <w:r w:rsidR="003841CC" w:rsidRPr="007E5979">
        <w:t xml:space="preserve">2019 года на 1674 тыс. руб. </w:t>
      </w:r>
      <w:r w:rsidR="00530526" w:rsidRPr="007E5979">
        <w:t xml:space="preserve">(2019 год – 3120 тыс. руб., 2020год – 1446 тыс. руб.). В </w:t>
      </w:r>
      <w:r w:rsidR="001E08AC" w:rsidRPr="007E5979">
        <w:t xml:space="preserve">сравнении с аналогичным периодом 2019 года поступление </w:t>
      </w:r>
      <w:r w:rsidR="003841CC" w:rsidRPr="007E5979">
        <w:t>снизилось</w:t>
      </w:r>
      <w:r w:rsidR="001E08AC" w:rsidRPr="007E5979">
        <w:t xml:space="preserve"> на 95 тыс. или на </w:t>
      </w:r>
      <w:r w:rsidR="00530526" w:rsidRPr="007E5979">
        <w:t xml:space="preserve">9,6%. </w:t>
      </w:r>
    </w:p>
    <w:p w:rsidR="00F142D1" w:rsidRPr="007E5979" w:rsidRDefault="005174B8" w:rsidP="00F142D1">
      <w:pPr>
        <w:tabs>
          <w:tab w:val="left" w:pos="0"/>
        </w:tabs>
        <w:ind w:right="-102" w:firstLine="710"/>
        <w:jc w:val="both"/>
      </w:pPr>
      <w:r w:rsidRPr="0033283E">
        <w:rPr>
          <w:b/>
        </w:rPr>
        <w:t>Налог, взимаемый в связи с применением патентной системы налогообложения</w:t>
      </w:r>
      <w:r>
        <w:t xml:space="preserve"> - </w:t>
      </w:r>
      <w:r w:rsidRPr="000A47FA">
        <w:t xml:space="preserve"> </w:t>
      </w:r>
      <w:r>
        <w:t>и</w:t>
      </w:r>
      <w:r w:rsidR="00F142D1" w:rsidRPr="000A47FA">
        <w:t xml:space="preserve">сполнение бюджетных назначений составило </w:t>
      </w:r>
      <w:r w:rsidR="00530526" w:rsidRPr="000A47FA">
        <w:t>556</w:t>
      </w:r>
      <w:r w:rsidR="00F142D1" w:rsidRPr="000A47FA">
        <w:rPr>
          <w:color w:val="000000"/>
        </w:rPr>
        <w:t xml:space="preserve"> </w:t>
      </w:r>
      <w:r w:rsidR="00F142D1" w:rsidRPr="000A47FA">
        <w:t xml:space="preserve">тыс. руб. или </w:t>
      </w:r>
      <w:r w:rsidR="00530526" w:rsidRPr="000A47FA">
        <w:t>72,5</w:t>
      </w:r>
      <w:r w:rsidR="00F142D1" w:rsidRPr="000A47FA">
        <w:t xml:space="preserve">% от годового объема плановых назначений </w:t>
      </w:r>
      <w:r w:rsidR="00530526" w:rsidRPr="000A47FA">
        <w:t>(</w:t>
      </w:r>
      <w:r w:rsidR="00CC2803" w:rsidRPr="000A47FA">
        <w:t>7</w:t>
      </w:r>
      <w:r w:rsidR="00530526" w:rsidRPr="000A47FA">
        <w:t>67</w:t>
      </w:r>
      <w:r w:rsidR="00CC2803" w:rsidRPr="000A47FA">
        <w:t xml:space="preserve"> </w:t>
      </w:r>
      <w:r w:rsidR="00F142D1" w:rsidRPr="000A47FA">
        <w:t>тыс. руб.</w:t>
      </w:r>
      <w:r w:rsidR="00530526" w:rsidRPr="000A47FA">
        <w:t>)</w:t>
      </w:r>
      <w:r w:rsidR="00F142D1" w:rsidRPr="000A47FA">
        <w:t xml:space="preserve">, </w:t>
      </w:r>
      <w:r w:rsidR="00DE6366" w:rsidRPr="000A47FA">
        <w:t xml:space="preserve">и на </w:t>
      </w:r>
      <w:r w:rsidR="00530526" w:rsidRPr="000A47FA">
        <w:t>335</w:t>
      </w:r>
      <w:r w:rsidR="00F142D1" w:rsidRPr="000A47FA">
        <w:t xml:space="preserve"> тыс. руб. или </w:t>
      </w:r>
      <w:r w:rsidR="00530526" w:rsidRPr="000A47FA">
        <w:t xml:space="preserve">в 2,5 раза </w:t>
      </w:r>
      <w:r w:rsidR="00CC2803" w:rsidRPr="000A47FA">
        <w:t>больше</w:t>
      </w:r>
      <w:r w:rsidR="00F142D1" w:rsidRPr="000A47FA">
        <w:t xml:space="preserve"> объема поступлений за аналогичный период 201</w:t>
      </w:r>
      <w:r w:rsidR="00DE6366" w:rsidRPr="000A47FA">
        <w:t>9</w:t>
      </w:r>
      <w:r w:rsidR="00F142D1" w:rsidRPr="000A47FA">
        <w:t xml:space="preserve"> года (</w:t>
      </w:r>
      <w:r w:rsidR="00DE6366" w:rsidRPr="000A47FA">
        <w:t>221</w:t>
      </w:r>
      <w:r w:rsidR="00F142D1" w:rsidRPr="000A47FA">
        <w:t xml:space="preserve"> тыс. руб.).</w:t>
      </w:r>
    </w:p>
    <w:p w:rsidR="00544EEB" w:rsidRPr="007E5979" w:rsidRDefault="00994AA9" w:rsidP="00994AA9">
      <w:pPr>
        <w:autoSpaceDE w:val="0"/>
        <w:autoSpaceDN w:val="0"/>
        <w:adjustRightInd w:val="0"/>
        <w:jc w:val="both"/>
      </w:pPr>
      <w:r w:rsidRPr="007E5979">
        <w:t xml:space="preserve"> </w:t>
      </w:r>
      <w:r w:rsidR="00DE6366" w:rsidRPr="007E5979">
        <w:tab/>
      </w:r>
      <w:r w:rsidR="005174B8" w:rsidRPr="0033283E">
        <w:rPr>
          <w:b/>
        </w:rPr>
        <w:t>Н</w:t>
      </w:r>
      <w:r w:rsidR="007E5979" w:rsidRPr="0033283E">
        <w:rPr>
          <w:b/>
        </w:rPr>
        <w:t>алог на имущество физических лиц</w:t>
      </w:r>
      <w:r w:rsidRPr="007E5979">
        <w:t xml:space="preserve"> </w:t>
      </w:r>
      <w:r w:rsidR="005174B8">
        <w:t>-</w:t>
      </w:r>
      <w:r w:rsidR="00C9668B" w:rsidRPr="007E5979">
        <w:t xml:space="preserve"> </w:t>
      </w:r>
      <w:r w:rsidR="005174B8">
        <w:t>п</w:t>
      </w:r>
      <w:r w:rsidR="005174B8" w:rsidRPr="007E5979">
        <w:t xml:space="preserve">оступление </w:t>
      </w:r>
      <w:r w:rsidRPr="007E5979">
        <w:t xml:space="preserve">в </w:t>
      </w:r>
      <w:r w:rsidR="00E9129A" w:rsidRPr="007E5979">
        <w:t xml:space="preserve">бюджет </w:t>
      </w:r>
      <w:r w:rsidR="007E5979">
        <w:t>составило</w:t>
      </w:r>
      <w:r w:rsidR="00E9129A" w:rsidRPr="007E5979">
        <w:t xml:space="preserve"> в сумме </w:t>
      </w:r>
      <w:r w:rsidR="00DE6366" w:rsidRPr="007E5979">
        <w:t>779</w:t>
      </w:r>
      <w:r w:rsidRPr="007E5979">
        <w:t xml:space="preserve"> тыс. руб.</w:t>
      </w:r>
      <w:r w:rsidR="00DE6366" w:rsidRPr="007E5979">
        <w:t xml:space="preserve"> или 4,9% от плана</w:t>
      </w:r>
      <w:r w:rsidRPr="007E5979">
        <w:t>, и по сравнению с 1 квартал</w:t>
      </w:r>
      <w:r w:rsidR="00DE6366" w:rsidRPr="007E5979">
        <w:t>ом</w:t>
      </w:r>
      <w:r w:rsidRPr="007E5979">
        <w:t xml:space="preserve"> 201</w:t>
      </w:r>
      <w:r w:rsidR="00DE6366" w:rsidRPr="007E5979">
        <w:t>9</w:t>
      </w:r>
      <w:r w:rsidRPr="007E5979">
        <w:t xml:space="preserve"> года (</w:t>
      </w:r>
      <w:r w:rsidR="00DE6366" w:rsidRPr="007E5979">
        <w:t>1113</w:t>
      </w:r>
      <w:r w:rsidRPr="007E5979">
        <w:t xml:space="preserve"> тыс. руб.)</w:t>
      </w:r>
      <w:r w:rsidR="007E5979">
        <w:t xml:space="preserve"> поступление</w:t>
      </w:r>
      <w:r w:rsidRPr="007E5979">
        <w:t xml:space="preserve"> у</w:t>
      </w:r>
      <w:r w:rsidR="00DE6366" w:rsidRPr="007E5979">
        <w:t>меньшилось на 334</w:t>
      </w:r>
      <w:r w:rsidR="00C9668B" w:rsidRPr="007E5979">
        <w:t xml:space="preserve"> тыс. руб. или на 3</w:t>
      </w:r>
      <w:r w:rsidR="00A42C29">
        <w:t>0</w:t>
      </w:r>
      <w:r w:rsidRPr="007E5979">
        <w:t>%</w:t>
      </w:r>
      <w:r w:rsidR="007E5979">
        <w:t>.</w:t>
      </w:r>
    </w:p>
    <w:p w:rsidR="007E5979" w:rsidRDefault="005174B8" w:rsidP="00994AA9">
      <w:pPr>
        <w:ind w:firstLine="709"/>
        <w:jc w:val="both"/>
      </w:pPr>
      <w:r w:rsidRPr="0033283E">
        <w:rPr>
          <w:b/>
        </w:rPr>
        <w:t>З</w:t>
      </w:r>
      <w:r w:rsidR="007E5979" w:rsidRPr="0033283E">
        <w:rPr>
          <w:b/>
        </w:rPr>
        <w:t>емельн</w:t>
      </w:r>
      <w:r w:rsidRPr="0033283E">
        <w:rPr>
          <w:b/>
        </w:rPr>
        <w:t>ый</w:t>
      </w:r>
      <w:r w:rsidR="007E5979" w:rsidRPr="0033283E">
        <w:rPr>
          <w:b/>
        </w:rPr>
        <w:t xml:space="preserve"> налог</w:t>
      </w:r>
      <w:r>
        <w:t xml:space="preserve"> - поступление</w:t>
      </w:r>
      <w:r w:rsidR="007E5979">
        <w:t xml:space="preserve"> за 1 квартал 2020 года составило </w:t>
      </w:r>
      <w:r w:rsidR="00A42C29">
        <w:t>3231</w:t>
      </w:r>
      <w:r w:rsidR="007E5979">
        <w:t xml:space="preserve"> тыс. руб. или 12,3% исполнения, </w:t>
      </w:r>
      <w:r w:rsidR="00A42C29">
        <w:t>и</w:t>
      </w:r>
      <w:r w:rsidR="007E5979">
        <w:t xml:space="preserve"> н</w:t>
      </w:r>
      <w:r w:rsidR="00994AA9" w:rsidRPr="007E5979">
        <w:t xml:space="preserve">а </w:t>
      </w:r>
      <w:r w:rsidR="007E5979">
        <w:t>1378 тыс. руб. или н</w:t>
      </w:r>
      <w:r w:rsidR="00994AA9" w:rsidRPr="007E5979">
        <w:t xml:space="preserve">а </w:t>
      </w:r>
      <w:r w:rsidR="007E5979">
        <w:t>29,9</w:t>
      </w:r>
      <w:r w:rsidR="00994AA9" w:rsidRPr="007E5979">
        <w:t xml:space="preserve">% </w:t>
      </w:r>
      <w:r w:rsidR="007E5979">
        <w:t xml:space="preserve">меньше </w:t>
      </w:r>
      <w:r w:rsidR="00994AA9" w:rsidRPr="007E5979">
        <w:t>объема поступлений за 1 квартал 201</w:t>
      </w:r>
      <w:r w:rsidR="007E5979">
        <w:t>9</w:t>
      </w:r>
      <w:r w:rsidR="00994AA9" w:rsidRPr="007E5979">
        <w:t xml:space="preserve"> года (</w:t>
      </w:r>
      <w:r w:rsidR="00A42C29">
        <w:t>4609</w:t>
      </w:r>
      <w:r>
        <w:t xml:space="preserve"> тыс. руб.).</w:t>
      </w:r>
    </w:p>
    <w:p w:rsidR="00994AA9" w:rsidRPr="007E5979" w:rsidRDefault="007E5979" w:rsidP="00994AA9">
      <w:pPr>
        <w:ind w:firstLine="709"/>
        <w:jc w:val="both"/>
      </w:pPr>
      <w:r>
        <w:t>Низкий процент исполнения по имущественным налогам обусловлен установлением срока оплаты налога для физических лиц 1 декабря 2020 года.</w:t>
      </w:r>
      <w:r w:rsidR="00994AA9" w:rsidRPr="007E5979">
        <w:t xml:space="preserve">      </w:t>
      </w:r>
    </w:p>
    <w:p w:rsidR="005174B8" w:rsidRPr="00C9668B" w:rsidRDefault="005174B8" w:rsidP="005174B8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283E">
        <w:rPr>
          <w:b/>
        </w:rPr>
        <w:t>Государственная пошлина</w:t>
      </w:r>
      <w:r>
        <w:t xml:space="preserve"> - и</w:t>
      </w:r>
      <w:r w:rsidR="00C9668B" w:rsidRPr="007E5979">
        <w:t>сполнение бюджетных назначений по государственной пошлине составило 1</w:t>
      </w:r>
      <w:r w:rsidR="007E5979">
        <w:t>341</w:t>
      </w:r>
      <w:r w:rsidR="00C9668B" w:rsidRPr="007E5979">
        <w:t> </w:t>
      </w:r>
      <w:r w:rsidR="00C9668B" w:rsidRPr="007E5979">
        <w:rPr>
          <w:color w:val="000000"/>
        </w:rPr>
        <w:t>тыс.</w:t>
      </w:r>
      <w:r w:rsidR="007E5979">
        <w:rPr>
          <w:color w:val="000000"/>
        </w:rPr>
        <w:t xml:space="preserve"> </w:t>
      </w:r>
      <w:r w:rsidR="00C9668B" w:rsidRPr="007E5979">
        <w:rPr>
          <w:color w:val="000000"/>
        </w:rPr>
        <w:t>руб.</w:t>
      </w:r>
      <w:r w:rsidR="00C9668B" w:rsidRPr="007E5979">
        <w:t xml:space="preserve">, или </w:t>
      </w:r>
      <w:r w:rsidR="007E5979">
        <w:t>19</w:t>
      </w:r>
      <w:r w:rsidR="00C9668B" w:rsidRPr="007E5979">
        <w:t>,</w:t>
      </w:r>
      <w:r w:rsidR="007E5979">
        <w:t>7</w:t>
      </w:r>
      <w:r w:rsidR="00C9668B" w:rsidRPr="007E5979">
        <w:t xml:space="preserve">% </w:t>
      </w:r>
      <w:r w:rsidR="00C9668B" w:rsidRPr="007E5979">
        <w:rPr>
          <w:spacing w:val="-2"/>
        </w:rPr>
        <w:t xml:space="preserve">от  </w:t>
      </w:r>
      <w:r w:rsidR="00C9668B" w:rsidRPr="007E5979">
        <w:t>годового п</w:t>
      </w:r>
      <w:r w:rsidR="007E5979">
        <w:t>лана</w:t>
      </w:r>
      <w:r w:rsidR="00C9668B" w:rsidRPr="007E5979">
        <w:t xml:space="preserve"> </w:t>
      </w:r>
      <w:r w:rsidR="007E5979">
        <w:t>(</w:t>
      </w:r>
      <w:r w:rsidR="00C74B64">
        <w:t>6794</w:t>
      </w:r>
      <w:r w:rsidR="00C9668B" w:rsidRPr="007E5979">
        <w:rPr>
          <w:color w:val="000000"/>
        </w:rPr>
        <w:t xml:space="preserve"> тыс</w:t>
      </w:r>
      <w:r w:rsidR="00C9668B" w:rsidRPr="00C9668B">
        <w:rPr>
          <w:color w:val="000000"/>
        </w:rPr>
        <w:t>.</w:t>
      </w:r>
      <w:r w:rsidR="00C74B64">
        <w:rPr>
          <w:color w:val="000000"/>
        </w:rPr>
        <w:t xml:space="preserve"> </w:t>
      </w:r>
      <w:r w:rsidR="00C9668B" w:rsidRPr="00C9668B">
        <w:rPr>
          <w:color w:val="000000"/>
        </w:rPr>
        <w:t>руб.</w:t>
      </w:r>
      <w:r w:rsidR="00C74B64">
        <w:rPr>
          <w:color w:val="000000"/>
        </w:rPr>
        <w:t>)</w:t>
      </w:r>
      <w:r w:rsidR="00C9668B" w:rsidRPr="00C9668B">
        <w:rPr>
          <w:color w:val="000000"/>
        </w:rPr>
        <w:t xml:space="preserve">, </w:t>
      </w:r>
      <w:r w:rsidR="00C74B64">
        <w:rPr>
          <w:color w:val="000000"/>
        </w:rPr>
        <w:t>и</w:t>
      </w:r>
      <w:r w:rsidR="00C9668B" w:rsidRPr="00C9668B">
        <w:t xml:space="preserve"> на </w:t>
      </w:r>
      <w:r w:rsidR="00C74B64">
        <w:t>147</w:t>
      </w:r>
      <w:r w:rsidR="00C9668B" w:rsidRPr="00C9668B">
        <w:rPr>
          <w:rFonts w:eastAsia="Calibri"/>
        </w:rPr>
        <w:t xml:space="preserve"> тыс.</w:t>
      </w:r>
      <w:r w:rsidR="00C74B64">
        <w:rPr>
          <w:rFonts w:eastAsia="Calibri"/>
        </w:rPr>
        <w:t xml:space="preserve"> </w:t>
      </w:r>
      <w:r w:rsidR="00C9668B" w:rsidRPr="00C9668B">
        <w:rPr>
          <w:rFonts w:eastAsia="Calibri"/>
        </w:rPr>
        <w:t xml:space="preserve">руб. или на </w:t>
      </w:r>
      <w:r w:rsidR="00C74B64">
        <w:rPr>
          <w:rFonts w:eastAsia="Calibri"/>
        </w:rPr>
        <w:t>9</w:t>
      </w:r>
      <w:r w:rsidR="00C9668B">
        <w:rPr>
          <w:rFonts w:eastAsia="Calibri"/>
        </w:rPr>
        <w:t>,</w:t>
      </w:r>
      <w:r w:rsidR="00C74B64">
        <w:rPr>
          <w:rFonts w:eastAsia="Calibri"/>
        </w:rPr>
        <w:t>9</w:t>
      </w:r>
      <w:r w:rsidR="00C9668B" w:rsidRPr="00C9668B">
        <w:rPr>
          <w:rFonts w:eastAsia="Calibri"/>
        </w:rPr>
        <w:t xml:space="preserve"> % </w:t>
      </w:r>
      <w:r w:rsidR="00C74B64">
        <w:rPr>
          <w:rFonts w:eastAsia="Calibri"/>
        </w:rPr>
        <w:t>меньше</w:t>
      </w:r>
      <w:r w:rsidR="00C9668B" w:rsidRPr="00C9668B">
        <w:t xml:space="preserve"> поступлений за аналогичный период 201</w:t>
      </w:r>
      <w:r w:rsidR="00C74B64">
        <w:t>9</w:t>
      </w:r>
      <w:r w:rsidR="00C9668B" w:rsidRPr="00C9668B">
        <w:t xml:space="preserve"> года (</w:t>
      </w:r>
      <w:r w:rsidR="00C74B64">
        <w:t>1488</w:t>
      </w:r>
      <w:r w:rsidR="00C9668B" w:rsidRPr="00C9668B">
        <w:rPr>
          <w:color w:val="000000"/>
        </w:rPr>
        <w:t xml:space="preserve"> </w:t>
      </w:r>
      <w:r w:rsidR="00C9668B" w:rsidRPr="00C9668B">
        <w:t xml:space="preserve">тыс. руб.). </w:t>
      </w:r>
      <w:r w:rsidR="00C9668B" w:rsidRPr="00C9668B">
        <w:rPr>
          <w:color w:val="000000"/>
        </w:rPr>
        <w:t xml:space="preserve"> </w:t>
      </w:r>
      <w:r>
        <w:rPr>
          <w:color w:val="000000"/>
        </w:rPr>
        <w:t>Вся сумма поступлений составило поступление госпошлины по делам, рассматриваемым в судах общей юрисдикции.</w:t>
      </w:r>
    </w:p>
    <w:p w:rsidR="00C74B64" w:rsidRPr="007E5979" w:rsidRDefault="00C74B64" w:rsidP="00C74B64">
      <w:pPr>
        <w:ind w:firstLine="708"/>
        <w:jc w:val="both"/>
        <w:rPr>
          <w:rFonts w:eastAsia="SimSun"/>
          <w:lang w:eastAsia="zh-CN"/>
        </w:rPr>
      </w:pPr>
      <w:r w:rsidRPr="00AB2513">
        <w:rPr>
          <w:rFonts w:eastAsia="SimSun"/>
          <w:lang w:eastAsia="zh-CN"/>
        </w:rPr>
        <w:t xml:space="preserve">План </w:t>
      </w:r>
      <w:r w:rsidRPr="007E5979">
        <w:rPr>
          <w:rFonts w:eastAsia="SimSun"/>
          <w:lang w:eastAsia="zh-CN"/>
        </w:rPr>
        <w:t xml:space="preserve">по </w:t>
      </w:r>
      <w:r w:rsidRPr="0033283E">
        <w:rPr>
          <w:rFonts w:eastAsia="SimSun"/>
          <w:b/>
          <w:lang w:eastAsia="zh-CN"/>
        </w:rPr>
        <w:t>неналоговым доходам</w:t>
      </w:r>
      <w:r w:rsidRPr="007E5979">
        <w:rPr>
          <w:rFonts w:eastAsia="SimSun"/>
          <w:lang w:eastAsia="zh-CN"/>
        </w:rPr>
        <w:t xml:space="preserve">, утвержденный на 2020 год в сумме </w:t>
      </w:r>
      <w:r>
        <w:rPr>
          <w:rFonts w:eastAsia="SimSun"/>
          <w:lang w:eastAsia="zh-CN"/>
        </w:rPr>
        <w:t>33687</w:t>
      </w:r>
      <w:r w:rsidRPr="007E5979">
        <w:rPr>
          <w:bCs/>
          <w:iCs/>
          <w:color w:val="000000"/>
        </w:rPr>
        <w:t xml:space="preserve"> </w:t>
      </w:r>
      <w:r w:rsidRPr="007E5979">
        <w:rPr>
          <w:rFonts w:eastAsia="SimSun"/>
          <w:lang w:eastAsia="zh-CN"/>
        </w:rPr>
        <w:t xml:space="preserve">тыс. руб., исполнен за 1 квартал 2020 года </w:t>
      </w:r>
      <w:r w:rsidR="00C01488">
        <w:rPr>
          <w:rFonts w:eastAsia="SimSun"/>
          <w:lang w:eastAsia="zh-CN"/>
        </w:rPr>
        <w:t xml:space="preserve">в сумме 10751 тыс. руб. или </w:t>
      </w:r>
      <w:r w:rsidRPr="007E5979">
        <w:rPr>
          <w:rFonts w:eastAsia="SimSun"/>
          <w:lang w:eastAsia="zh-CN"/>
        </w:rPr>
        <w:t xml:space="preserve">на </w:t>
      </w:r>
      <w:r>
        <w:rPr>
          <w:rFonts w:eastAsia="SimSun"/>
          <w:lang w:eastAsia="zh-CN"/>
        </w:rPr>
        <w:t>31</w:t>
      </w:r>
      <w:r w:rsidRPr="007E5979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>9</w:t>
      </w:r>
      <w:r w:rsidRPr="007E5979">
        <w:rPr>
          <w:rFonts w:eastAsia="SimSun"/>
          <w:lang w:eastAsia="zh-CN"/>
        </w:rPr>
        <w:t xml:space="preserve">%, что на </w:t>
      </w:r>
      <w:r w:rsidR="00C01488">
        <w:rPr>
          <w:rFonts w:eastAsia="SimSun"/>
          <w:lang w:eastAsia="zh-CN"/>
        </w:rPr>
        <w:t>7162</w:t>
      </w:r>
      <w:r w:rsidRPr="007E5979">
        <w:rPr>
          <w:color w:val="000000"/>
        </w:rPr>
        <w:t xml:space="preserve"> </w:t>
      </w:r>
      <w:r w:rsidRPr="007E5979">
        <w:t xml:space="preserve">тыс. руб. или на </w:t>
      </w:r>
      <w:r w:rsidR="00C01488">
        <w:t>40</w:t>
      </w:r>
      <w:r w:rsidRPr="007E5979">
        <w:t xml:space="preserve">% </w:t>
      </w:r>
      <w:r w:rsidR="00C01488">
        <w:t>ниже</w:t>
      </w:r>
      <w:r w:rsidRPr="007E5979">
        <w:rPr>
          <w:rFonts w:eastAsia="SimSun"/>
          <w:lang w:eastAsia="zh-CN"/>
        </w:rPr>
        <w:t xml:space="preserve"> поступлений </w:t>
      </w:r>
      <w:r w:rsidRPr="007E5979">
        <w:rPr>
          <w:rFonts w:eastAsia="SimSun"/>
          <w:color w:val="000000"/>
          <w:lang w:eastAsia="zh-CN"/>
        </w:rPr>
        <w:t>за соответствующий период 2019 года.</w:t>
      </w:r>
    </w:p>
    <w:p w:rsidR="00C74B64" w:rsidRPr="007E5979" w:rsidRDefault="00C74B64" w:rsidP="00C74B6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7E5979">
        <w:t>В сравнении с прошлым годом увеличение поступлений в 20</w:t>
      </w:r>
      <w:r w:rsidR="00C01488">
        <w:t>20</w:t>
      </w:r>
      <w:r w:rsidRPr="007E5979">
        <w:t xml:space="preserve"> год</w:t>
      </w:r>
      <w:r w:rsidR="00C01488">
        <w:t>у</w:t>
      </w:r>
      <w:r w:rsidRPr="007E5979">
        <w:t xml:space="preserve"> произошло по </w:t>
      </w:r>
      <w:r w:rsidR="00C01488">
        <w:t xml:space="preserve">четырем </w:t>
      </w:r>
      <w:r w:rsidRPr="007E5979">
        <w:t xml:space="preserve">источникам: </w:t>
      </w:r>
      <w:r w:rsidR="00C01488">
        <w:t>аренда имущества</w:t>
      </w:r>
      <w:r w:rsidRPr="007E5979">
        <w:rPr>
          <w:color w:val="000000"/>
        </w:rPr>
        <w:t xml:space="preserve"> (на </w:t>
      </w:r>
      <w:r w:rsidR="00C01488">
        <w:rPr>
          <w:color w:val="000000"/>
        </w:rPr>
        <w:t>24</w:t>
      </w:r>
      <w:r w:rsidRPr="007E5979">
        <w:rPr>
          <w:color w:val="000000"/>
        </w:rPr>
        <w:t>,</w:t>
      </w:r>
      <w:r w:rsidR="00C01488">
        <w:rPr>
          <w:color w:val="000000"/>
        </w:rPr>
        <w:t>2</w:t>
      </w:r>
      <w:r w:rsidRPr="007E5979">
        <w:rPr>
          <w:color w:val="000000"/>
        </w:rPr>
        <w:t>%);</w:t>
      </w:r>
      <w:r w:rsidRPr="007E5979">
        <w:t xml:space="preserve"> </w:t>
      </w:r>
      <w:r w:rsidR="00C01488" w:rsidRPr="00972CEC">
        <w:t>платеж</w:t>
      </w:r>
      <w:r w:rsidR="00C01488">
        <w:t>и</w:t>
      </w:r>
      <w:r w:rsidR="00C01488" w:rsidRPr="00972CEC">
        <w:t xml:space="preserve"> за пользование природными ресурсами</w:t>
      </w:r>
      <w:r w:rsidRPr="007E5979">
        <w:t xml:space="preserve"> (</w:t>
      </w:r>
      <w:r w:rsidR="00C01488">
        <w:t>в 1,4 раза</w:t>
      </w:r>
      <w:r w:rsidRPr="007E5979">
        <w:t xml:space="preserve">), </w:t>
      </w:r>
      <w:r w:rsidR="00C01488">
        <w:t>продажи земельных участков (</w:t>
      </w:r>
      <w:r w:rsidRPr="007E5979">
        <w:rPr>
          <w:color w:val="000000"/>
        </w:rPr>
        <w:t xml:space="preserve">в </w:t>
      </w:r>
      <w:r w:rsidR="00C01488">
        <w:rPr>
          <w:color w:val="000000"/>
        </w:rPr>
        <w:t>3</w:t>
      </w:r>
      <w:r w:rsidRPr="007E5979">
        <w:rPr>
          <w:color w:val="000000"/>
        </w:rPr>
        <w:t>,</w:t>
      </w:r>
      <w:r w:rsidR="00C01488">
        <w:rPr>
          <w:color w:val="000000"/>
        </w:rPr>
        <w:t>4</w:t>
      </w:r>
      <w:r w:rsidRPr="007E5979">
        <w:rPr>
          <w:color w:val="000000"/>
        </w:rPr>
        <w:t xml:space="preserve"> раза)</w:t>
      </w:r>
      <w:r w:rsidR="00C01488">
        <w:rPr>
          <w:color w:val="000000"/>
        </w:rPr>
        <w:t>, прочие неналоговые доходы (на 42,3%)</w:t>
      </w:r>
      <w:r w:rsidRPr="007E5979">
        <w:rPr>
          <w:color w:val="000000"/>
        </w:rPr>
        <w:t>.</w:t>
      </w:r>
      <w:r w:rsidR="00C01488">
        <w:rPr>
          <w:color w:val="000000"/>
        </w:rPr>
        <w:t xml:space="preserve"> По остальным источникам наблюдается снижение поступлений.</w:t>
      </w:r>
    </w:p>
    <w:p w:rsidR="00C74B64" w:rsidRPr="007E5979" w:rsidRDefault="00C74B64" w:rsidP="00C74B64">
      <w:pPr>
        <w:ind w:firstLine="709"/>
        <w:jc w:val="both"/>
      </w:pPr>
      <w:r w:rsidRPr="007E5979">
        <w:t>В 1 квартале 2020 года основными источник</w:t>
      </w:r>
      <w:r w:rsidR="00764BAB">
        <w:t>ами</w:t>
      </w:r>
      <w:r w:rsidRPr="007E5979">
        <w:t xml:space="preserve"> </w:t>
      </w:r>
      <w:r w:rsidR="00C01488">
        <w:t>не</w:t>
      </w:r>
      <w:r w:rsidRPr="007E5979">
        <w:t>налоговых поступлений явля</w:t>
      </w:r>
      <w:r w:rsidR="00764BAB">
        <w:t>ю</w:t>
      </w:r>
      <w:r w:rsidRPr="007E5979">
        <w:t xml:space="preserve">тся доходы </w:t>
      </w:r>
      <w:r w:rsidR="00764BAB">
        <w:t xml:space="preserve">от аренды земельных участков </w:t>
      </w:r>
      <w:r w:rsidR="00D34E8E">
        <w:t>(</w:t>
      </w:r>
      <w:r w:rsidR="00764BAB">
        <w:t>доля составила - 35</w:t>
      </w:r>
      <w:r w:rsidRPr="007E5979">
        <w:t>,</w:t>
      </w:r>
      <w:r w:rsidR="00764BAB">
        <w:t>2</w:t>
      </w:r>
      <w:r w:rsidRPr="007E5979">
        <w:t>%</w:t>
      </w:r>
      <w:r w:rsidR="00D34E8E">
        <w:t>)</w:t>
      </w:r>
      <w:r w:rsidR="00764BAB">
        <w:t xml:space="preserve">, доходы от продажи земли </w:t>
      </w:r>
      <w:r w:rsidR="00D34E8E">
        <w:t xml:space="preserve">(доля </w:t>
      </w:r>
      <w:r w:rsidR="00764BAB">
        <w:t>30,8%</w:t>
      </w:r>
      <w:r w:rsidR="00D34E8E">
        <w:t>)</w:t>
      </w:r>
      <w:r w:rsidRPr="007E5979">
        <w:t>.</w:t>
      </w:r>
    </w:p>
    <w:p w:rsidR="00D7117F" w:rsidRDefault="00A979C9" w:rsidP="00634031">
      <w:pPr>
        <w:ind w:firstLine="709"/>
        <w:jc w:val="both"/>
      </w:pPr>
      <w:r w:rsidRPr="007C781D">
        <w:t xml:space="preserve">Исполнение бюджетных назначений по </w:t>
      </w:r>
      <w:r w:rsidRPr="0033283E">
        <w:t>д</w:t>
      </w:r>
      <w:r w:rsidR="00634031" w:rsidRPr="0033283E">
        <w:t>оход</w:t>
      </w:r>
      <w:r w:rsidRPr="0033283E">
        <w:t>ам</w:t>
      </w:r>
      <w:r w:rsidR="00634031" w:rsidRPr="0033283E">
        <w:rPr>
          <w:b/>
        </w:rPr>
        <w:t xml:space="preserve"> от арендной платы за земельные</w:t>
      </w:r>
      <w:r w:rsidR="00634031" w:rsidRPr="007C781D">
        <w:t xml:space="preserve"> </w:t>
      </w:r>
      <w:r w:rsidR="00634031" w:rsidRPr="0033283E">
        <w:rPr>
          <w:b/>
        </w:rPr>
        <w:t>участки</w:t>
      </w:r>
      <w:r w:rsidR="00634031" w:rsidRPr="007C781D">
        <w:t xml:space="preserve"> составил</w:t>
      </w:r>
      <w:r w:rsidRPr="007C781D">
        <w:t>о</w:t>
      </w:r>
      <w:r w:rsidR="00634031" w:rsidRPr="007C781D">
        <w:t xml:space="preserve"> в сумме </w:t>
      </w:r>
      <w:r w:rsidR="00764BAB" w:rsidRPr="007C781D">
        <w:t>3780</w:t>
      </w:r>
      <w:r w:rsidR="00634031" w:rsidRPr="007C781D">
        <w:t xml:space="preserve"> тыс.</w:t>
      </w:r>
      <w:r w:rsidR="00764BAB" w:rsidRPr="007C781D">
        <w:t xml:space="preserve"> </w:t>
      </w:r>
      <w:r w:rsidR="00634031" w:rsidRPr="007C781D">
        <w:t xml:space="preserve">руб. или </w:t>
      </w:r>
      <w:r w:rsidR="00764BAB" w:rsidRPr="007C781D">
        <w:t>17,7</w:t>
      </w:r>
      <w:r w:rsidR="00634031" w:rsidRPr="007C781D">
        <w:t xml:space="preserve">% от годового </w:t>
      </w:r>
      <w:r w:rsidR="00634031" w:rsidRPr="007C781D">
        <w:rPr>
          <w:rFonts w:eastAsia="Calibri"/>
        </w:rPr>
        <w:t xml:space="preserve">прогноза поступлений </w:t>
      </w:r>
      <w:r w:rsidR="00634031" w:rsidRPr="007C781D">
        <w:t>(2</w:t>
      </w:r>
      <w:r w:rsidR="00764BAB" w:rsidRPr="007C781D">
        <w:t>1300</w:t>
      </w:r>
      <w:r w:rsidR="00634031" w:rsidRPr="007C781D">
        <w:t xml:space="preserve"> тыс. руб.). </w:t>
      </w:r>
      <w:proofErr w:type="gramStart"/>
      <w:r w:rsidR="00C4309F" w:rsidRPr="007C781D">
        <w:t>Согласно анализа</w:t>
      </w:r>
      <w:proofErr w:type="gramEnd"/>
      <w:r w:rsidR="00C4309F" w:rsidRPr="007C781D">
        <w:t xml:space="preserve"> финансового управления причиной низкого выполнения плана является выкуп 5 ранее арендованных земельных участков</w:t>
      </w:r>
      <w:r w:rsidR="00D7117F">
        <w:t>,</w:t>
      </w:r>
      <w:r w:rsidR="00C4309F" w:rsidRPr="007C781D">
        <w:t xml:space="preserve"> </w:t>
      </w:r>
      <w:r w:rsidR="00D7117F">
        <w:t>уменьшение количества заключенных</w:t>
      </w:r>
      <w:r w:rsidR="00C4309F" w:rsidRPr="007C781D">
        <w:t xml:space="preserve"> договор</w:t>
      </w:r>
      <w:r w:rsidR="00D7117F">
        <w:t>ов</w:t>
      </w:r>
      <w:r w:rsidR="00C4309F" w:rsidRPr="007C781D">
        <w:t xml:space="preserve"> аренды</w:t>
      </w:r>
      <w:r w:rsidR="00491656" w:rsidRPr="007C781D">
        <w:t>, увеличение задолженности</w:t>
      </w:r>
      <w:r w:rsidR="00C4309F" w:rsidRPr="007C781D">
        <w:t>.</w:t>
      </w:r>
      <w:r w:rsidR="00FB2FE0">
        <w:t xml:space="preserve"> </w:t>
      </w:r>
    </w:p>
    <w:p w:rsidR="00634031" w:rsidRPr="007C781D" w:rsidRDefault="00FB2FE0" w:rsidP="00634031">
      <w:pPr>
        <w:ind w:firstLine="709"/>
        <w:jc w:val="both"/>
      </w:pPr>
      <w:r>
        <w:t xml:space="preserve">Контрольно-счетная палата обращает внимание, что в сравнении с 1 кварталом 2019 года, при увеличенном годовом плане на 2020 год (2019г-20000 тыс. руб., 2020г – 21300 тыс. </w:t>
      </w:r>
      <w:r>
        <w:lastRenderedPageBreak/>
        <w:t xml:space="preserve">руб.) доходов поступило меньше на </w:t>
      </w:r>
      <w:r w:rsidRPr="00FB2FE0">
        <w:rPr>
          <w:b/>
        </w:rPr>
        <w:t>9075</w:t>
      </w:r>
      <w:r>
        <w:t xml:space="preserve"> тыс. руб. (2019г – 12855 тыс. руб., 2020г – 3780 тыс. руб.).</w:t>
      </w:r>
    </w:p>
    <w:p w:rsidR="00634031" w:rsidRPr="007C781D" w:rsidRDefault="00A979C9" w:rsidP="00634031">
      <w:pPr>
        <w:ind w:firstLine="708"/>
        <w:jc w:val="both"/>
      </w:pPr>
      <w:r w:rsidRPr="007C781D">
        <w:t>Исполнение бюджетных назначений по д</w:t>
      </w:r>
      <w:r w:rsidR="00634031" w:rsidRPr="007C781D">
        <w:rPr>
          <w:bCs/>
        </w:rPr>
        <w:t>оход</w:t>
      </w:r>
      <w:r w:rsidRPr="007C781D">
        <w:rPr>
          <w:bCs/>
        </w:rPr>
        <w:t>ам</w:t>
      </w:r>
      <w:r w:rsidR="00634031" w:rsidRPr="007C781D">
        <w:rPr>
          <w:bCs/>
        </w:rPr>
        <w:t xml:space="preserve"> </w:t>
      </w:r>
      <w:r w:rsidR="00634031" w:rsidRPr="0033283E">
        <w:rPr>
          <w:b/>
          <w:bCs/>
        </w:rPr>
        <w:t>от сдачи в аренду имущества</w:t>
      </w:r>
      <w:r w:rsidR="00634031" w:rsidRPr="007C781D">
        <w:rPr>
          <w:bCs/>
        </w:rPr>
        <w:t xml:space="preserve"> </w:t>
      </w:r>
      <w:r w:rsidR="00634031" w:rsidRPr="007C781D">
        <w:t xml:space="preserve"> составил</w:t>
      </w:r>
      <w:r w:rsidRPr="007C781D">
        <w:t xml:space="preserve">о </w:t>
      </w:r>
      <w:r w:rsidR="00634031" w:rsidRPr="007C781D">
        <w:t xml:space="preserve">в сумме </w:t>
      </w:r>
      <w:r w:rsidR="00C4309F" w:rsidRPr="007C781D">
        <w:t>1172</w:t>
      </w:r>
      <w:r w:rsidR="00634031" w:rsidRPr="007C781D">
        <w:rPr>
          <w:color w:val="000000"/>
        </w:rPr>
        <w:t xml:space="preserve"> </w:t>
      </w:r>
      <w:r w:rsidR="00634031" w:rsidRPr="007C781D">
        <w:t xml:space="preserve">тыс. руб. или </w:t>
      </w:r>
      <w:r w:rsidR="00C4309F" w:rsidRPr="007C781D">
        <w:t>23,4</w:t>
      </w:r>
      <w:r w:rsidR="00634031" w:rsidRPr="007C781D">
        <w:t xml:space="preserve">% от </w:t>
      </w:r>
      <w:r w:rsidR="00634031" w:rsidRPr="007C781D">
        <w:rPr>
          <w:rFonts w:eastAsia="Calibri"/>
        </w:rPr>
        <w:t>прогноза поступлений (</w:t>
      </w:r>
      <w:r w:rsidRPr="007C781D">
        <w:t>500</w:t>
      </w:r>
      <w:r w:rsidR="00C4309F" w:rsidRPr="007C781D">
        <w:t>1</w:t>
      </w:r>
      <w:r w:rsidRPr="007C781D">
        <w:t xml:space="preserve"> </w:t>
      </w:r>
      <w:r w:rsidR="00634031" w:rsidRPr="007C781D">
        <w:t xml:space="preserve">тыс. руб.), </w:t>
      </w:r>
      <w:r w:rsidR="00967D29" w:rsidRPr="007C781D">
        <w:t>и</w:t>
      </w:r>
      <w:r w:rsidR="00634031" w:rsidRPr="007C781D">
        <w:t xml:space="preserve"> на </w:t>
      </w:r>
      <w:r w:rsidR="00C4309F" w:rsidRPr="007C781D">
        <w:t>228</w:t>
      </w:r>
      <w:r w:rsidR="00634031" w:rsidRPr="007C781D">
        <w:t xml:space="preserve"> тыс. руб. или на </w:t>
      </w:r>
      <w:r w:rsidR="00C4309F" w:rsidRPr="007C781D">
        <w:t>24,2</w:t>
      </w:r>
      <w:r w:rsidR="00634031" w:rsidRPr="007C781D">
        <w:t>% больше объема поступлений за аналогичный период 201</w:t>
      </w:r>
      <w:r w:rsidR="00C4309F" w:rsidRPr="007C781D">
        <w:t>9</w:t>
      </w:r>
      <w:r w:rsidR="00634031" w:rsidRPr="007C781D">
        <w:t xml:space="preserve"> года (</w:t>
      </w:r>
      <w:r w:rsidR="00C4309F" w:rsidRPr="007C781D">
        <w:t>944</w:t>
      </w:r>
      <w:r w:rsidRPr="007C781D">
        <w:t xml:space="preserve"> тыс. руб.).</w:t>
      </w:r>
    </w:p>
    <w:p w:rsidR="00634031" w:rsidRPr="007C781D" w:rsidRDefault="006E5C07" w:rsidP="00634031">
      <w:pPr>
        <w:ind w:firstLine="708"/>
        <w:jc w:val="both"/>
      </w:pPr>
      <w:proofErr w:type="gramStart"/>
      <w:r w:rsidRPr="0033283E">
        <w:rPr>
          <w:b/>
        </w:rPr>
        <w:t>П</w:t>
      </w:r>
      <w:r w:rsidR="00634031" w:rsidRPr="0033283E">
        <w:rPr>
          <w:b/>
        </w:rPr>
        <w:t>рочие поступления от использования имущества</w:t>
      </w:r>
      <w:r w:rsidR="00634031" w:rsidRPr="007C781D">
        <w:t xml:space="preserve">, находящегося в собственности городского округа (плата за наем жилого помещения, доходы от платежей за предоставление рекламного места) составили в сумме </w:t>
      </w:r>
      <w:r w:rsidR="000A0374" w:rsidRPr="007C781D">
        <w:t>502</w:t>
      </w:r>
      <w:r w:rsidR="00634031" w:rsidRPr="007C781D">
        <w:rPr>
          <w:color w:val="000000"/>
        </w:rPr>
        <w:t xml:space="preserve"> </w:t>
      </w:r>
      <w:r w:rsidR="00634031" w:rsidRPr="007C781D">
        <w:t xml:space="preserve">тыс. руб. или </w:t>
      </w:r>
      <w:r w:rsidR="000A0374" w:rsidRPr="007C781D">
        <w:t>25,6</w:t>
      </w:r>
      <w:r w:rsidR="00634031" w:rsidRPr="007C781D">
        <w:t>% от годового</w:t>
      </w:r>
      <w:r w:rsidR="00634031" w:rsidRPr="007C781D">
        <w:rPr>
          <w:rFonts w:eastAsia="Calibri"/>
        </w:rPr>
        <w:t xml:space="preserve"> прогноза поступлений (</w:t>
      </w:r>
      <w:r w:rsidR="000A0374" w:rsidRPr="007C781D">
        <w:rPr>
          <w:rFonts w:eastAsia="Calibri"/>
        </w:rPr>
        <w:t>1960</w:t>
      </w:r>
      <w:r w:rsidR="00634031" w:rsidRPr="007C781D">
        <w:t xml:space="preserve"> тыс. руб.), </w:t>
      </w:r>
      <w:r w:rsidR="000A0374" w:rsidRPr="007C781D">
        <w:t>и</w:t>
      </w:r>
      <w:r w:rsidR="00634031" w:rsidRPr="007C781D">
        <w:t xml:space="preserve"> на </w:t>
      </w:r>
      <w:r w:rsidR="000A0374" w:rsidRPr="007C781D">
        <w:t>296</w:t>
      </w:r>
      <w:r w:rsidR="00634031" w:rsidRPr="007C781D">
        <w:t xml:space="preserve"> тыс. руб. или на </w:t>
      </w:r>
      <w:r w:rsidR="000A0374" w:rsidRPr="007C781D">
        <w:t>37,1</w:t>
      </w:r>
      <w:r w:rsidR="00634031" w:rsidRPr="007C781D">
        <w:t xml:space="preserve">% </w:t>
      </w:r>
      <w:r w:rsidR="000A0374" w:rsidRPr="007C781D">
        <w:t>меньше</w:t>
      </w:r>
      <w:r w:rsidR="00634031" w:rsidRPr="007C781D">
        <w:t xml:space="preserve"> объема поступлений за аналогичный период 201</w:t>
      </w:r>
      <w:r w:rsidR="000A0374" w:rsidRPr="007C781D">
        <w:t>9</w:t>
      </w:r>
      <w:r w:rsidR="00634031" w:rsidRPr="007C781D">
        <w:t xml:space="preserve"> года (</w:t>
      </w:r>
      <w:r w:rsidR="000A0374" w:rsidRPr="007C781D">
        <w:t>798</w:t>
      </w:r>
      <w:r w:rsidR="00634031" w:rsidRPr="007C781D">
        <w:t xml:space="preserve"> тыс. руб.).  </w:t>
      </w:r>
      <w:proofErr w:type="gramEnd"/>
    </w:p>
    <w:p w:rsidR="00E552D3" w:rsidRPr="007C781D" w:rsidRDefault="00A83434" w:rsidP="00E552D3">
      <w:pPr>
        <w:ind w:firstLine="708"/>
        <w:jc w:val="both"/>
        <w:rPr>
          <w:color w:val="000000"/>
        </w:rPr>
      </w:pPr>
      <w:r w:rsidRPr="0033283E">
        <w:rPr>
          <w:b/>
          <w:bCs/>
        </w:rPr>
        <w:t>Д</w:t>
      </w:r>
      <w:r w:rsidR="00634031" w:rsidRPr="0033283E">
        <w:rPr>
          <w:b/>
          <w:bCs/>
        </w:rPr>
        <w:t xml:space="preserve">оходы от </w:t>
      </w:r>
      <w:r w:rsidR="00634031" w:rsidRPr="0033283E">
        <w:rPr>
          <w:b/>
          <w:color w:val="000000"/>
        </w:rPr>
        <w:t>перечисления части прибыли муниципальных унитарных предприятий</w:t>
      </w:r>
      <w:r w:rsidR="00E552D3" w:rsidRPr="007C781D">
        <w:rPr>
          <w:color w:val="000000"/>
        </w:rPr>
        <w:t>, остающейся после уплаты налогов и иных обязательных платежей, в 1 квартале 20</w:t>
      </w:r>
      <w:r w:rsidR="00774D58" w:rsidRPr="007C781D">
        <w:rPr>
          <w:color w:val="000000"/>
        </w:rPr>
        <w:t>20</w:t>
      </w:r>
      <w:r w:rsidR="00E552D3" w:rsidRPr="007C781D">
        <w:rPr>
          <w:color w:val="000000"/>
        </w:rPr>
        <w:t xml:space="preserve"> года </w:t>
      </w:r>
      <w:r w:rsidRPr="007C781D">
        <w:t xml:space="preserve">в местный бюджет </w:t>
      </w:r>
      <w:r w:rsidR="00E552D3" w:rsidRPr="007C781D">
        <w:rPr>
          <w:color w:val="000000"/>
        </w:rPr>
        <w:t xml:space="preserve">не поступали. </w:t>
      </w:r>
      <w:proofErr w:type="gramStart"/>
      <w:r w:rsidR="00065574">
        <w:rPr>
          <w:color w:val="000000"/>
        </w:rPr>
        <w:t>Согласно решения</w:t>
      </w:r>
      <w:proofErr w:type="gramEnd"/>
      <w:r w:rsidR="00065574">
        <w:rPr>
          <w:color w:val="000000"/>
        </w:rPr>
        <w:t xml:space="preserve"> Думы Лесозаводского городского округа от 27.11.2008 №41-НПА (в редакции от 19.12.2014) срок перечисления части прибыли унитарными предприятиями  </w:t>
      </w:r>
      <w:r w:rsidR="00E26C13">
        <w:rPr>
          <w:color w:val="000000"/>
        </w:rPr>
        <w:t>приходится на 2 квартал (после сдачи отчетности в налоговый орган)</w:t>
      </w:r>
      <w:r w:rsidR="00065574">
        <w:rPr>
          <w:color w:val="000000"/>
        </w:rPr>
        <w:t>.</w:t>
      </w:r>
    </w:p>
    <w:p w:rsidR="00D8015D" w:rsidRPr="007C781D" w:rsidRDefault="00A83434" w:rsidP="007746A2">
      <w:pPr>
        <w:ind w:firstLine="708"/>
        <w:jc w:val="both"/>
      </w:pPr>
      <w:r w:rsidRPr="007C781D">
        <w:t>И</w:t>
      </w:r>
      <w:r w:rsidR="00D8015D" w:rsidRPr="007C781D">
        <w:t xml:space="preserve">сполнение бюджетных назначений по </w:t>
      </w:r>
      <w:r w:rsidR="00D8015D" w:rsidRPr="007C781D">
        <w:rPr>
          <w:bCs/>
        </w:rPr>
        <w:t xml:space="preserve">доходам </w:t>
      </w:r>
      <w:r w:rsidR="00D8015D" w:rsidRPr="0033283E">
        <w:rPr>
          <w:b/>
          <w:bCs/>
        </w:rPr>
        <w:t>от продажи земельных участков</w:t>
      </w:r>
      <w:r w:rsidR="00D8015D" w:rsidRPr="007C781D">
        <w:rPr>
          <w:bCs/>
        </w:rPr>
        <w:t xml:space="preserve"> </w:t>
      </w:r>
      <w:r w:rsidR="00D8015D" w:rsidRPr="007C781D">
        <w:t xml:space="preserve">составило </w:t>
      </w:r>
      <w:r w:rsidR="00774D58" w:rsidRPr="007C781D">
        <w:t>3314</w:t>
      </w:r>
      <w:r w:rsidR="00D8015D" w:rsidRPr="007C781D">
        <w:rPr>
          <w:color w:val="000000"/>
        </w:rPr>
        <w:t xml:space="preserve"> </w:t>
      </w:r>
      <w:r w:rsidR="00D8015D" w:rsidRPr="007C781D">
        <w:t xml:space="preserve">тыс. руб. или </w:t>
      </w:r>
      <w:r w:rsidR="00774D58" w:rsidRPr="007C781D">
        <w:t xml:space="preserve">в 2 раза больше </w:t>
      </w:r>
      <w:r w:rsidR="00D8015D" w:rsidRPr="007C781D">
        <w:t xml:space="preserve">годового объема плановых назначений </w:t>
      </w:r>
      <w:r w:rsidR="00774D58" w:rsidRPr="007C781D">
        <w:t>(</w:t>
      </w:r>
      <w:r w:rsidRPr="007C781D">
        <w:t>1600</w:t>
      </w:r>
      <w:r w:rsidR="00D8015D" w:rsidRPr="007C781D">
        <w:t xml:space="preserve"> тыс. руб.</w:t>
      </w:r>
      <w:r w:rsidR="00774D58" w:rsidRPr="007C781D">
        <w:t>)</w:t>
      </w:r>
      <w:r w:rsidR="00D8015D" w:rsidRPr="007C781D">
        <w:t xml:space="preserve">, </w:t>
      </w:r>
      <w:r w:rsidR="00774D58" w:rsidRPr="007C781D">
        <w:t>и</w:t>
      </w:r>
      <w:r w:rsidR="00D8015D" w:rsidRPr="007C781D">
        <w:t xml:space="preserve"> на </w:t>
      </w:r>
      <w:r w:rsidR="00774D58" w:rsidRPr="007C781D">
        <w:t>2325</w:t>
      </w:r>
      <w:r w:rsidR="00D8015D" w:rsidRPr="007C781D">
        <w:t xml:space="preserve"> тыс. руб. или </w:t>
      </w:r>
      <w:r w:rsidR="00774D58" w:rsidRPr="007C781D">
        <w:t>в 3,4 раза</w:t>
      </w:r>
      <w:r w:rsidR="00D8015D" w:rsidRPr="007C781D">
        <w:t xml:space="preserve"> больше объема поступлений за аналогичный период 201</w:t>
      </w:r>
      <w:r w:rsidR="00774D58" w:rsidRPr="007C781D">
        <w:t>9</w:t>
      </w:r>
      <w:r w:rsidR="00D8015D" w:rsidRPr="007C781D">
        <w:t xml:space="preserve"> года (</w:t>
      </w:r>
      <w:r w:rsidR="00774D58" w:rsidRPr="007C781D">
        <w:t>989</w:t>
      </w:r>
      <w:r w:rsidR="00D8015D" w:rsidRPr="007C781D">
        <w:t xml:space="preserve"> тыс. руб.).</w:t>
      </w:r>
      <w:r w:rsidR="007B288C" w:rsidRPr="007C781D">
        <w:t xml:space="preserve"> Согласно информации финансового управления причиной перевыполнение годового плана стало увеличение количества заявок на выкуп земельных участков под собственными объектами недвижимости и на выкуп арендуемых участков.</w:t>
      </w:r>
    </w:p>
    <w:p w:rsidR="007B288C" w:rsidRPr="007C781D" w:rsidRDefault="007B288C" w:rsidP="00C8229B">
      <w:pPr>
        <w:ind w:firstLine="708"/>
        <w:jc w:val="both"/>
      </w:pPr>
      <w:r w:rsidRPr="007C781D">
        <w:t xml:space="preserve">Доходы </w:t>
      </w:r>
      <w:r w:rsidR="00C8229B" w:rsidRPr="0033283E">
        <w:rPr>
          <w:b/>
        </w:rPr>
        <w:t>от продажи иного имущества</w:t>
      </w:r>
      <w:r w:rsidR="00C8229B" w:rsidRPr="007C781D">
        <w:t xml:space="preserve"> </w:t>
      </w:r>
      <w:r w:rsidRPr="007C781D">
        <w:t xml:space="preserve">в 1 квартале 2020 года в бюджет не поступали. Годовой </w:t>
      </w:r>
      <w:r w:rsidR="00C8229B" w:rsidRPr="007C781D">
        <w:t xml:space="preserve">объем плановых назначений </w:t>
      </w:r>
      <w:r w:rsidRPr="007C781D">
        <w:t xml:space="preserve">установлен </w:t>
      </w:r>
      <w:r w:rsidR="00C8229B" w:rsidRPr="007C781D">
        <w:t xml:space="preserve">в сумме </w:t>
      </w:r>
      <w:r w:rsidRPr="007C781D">
        <w:t>200</w:t>
      </w:r>
      <w:r w:rsidR="00C8229B" w:rsidRPr="007C781D">
        <w:t xml:space="preserve"> тыс. руб. </w:t>
      </w:r>
      <w:proofErr w:type="gramStart"/>
      <w:r w:rsidRPr="007C781D">
        <w:t>Согласно плана</w:t>
      </w:r>
      <w:proofErr w:type="gramEnd"/>
      <w:r w:rsidRPr="007C781D">
        <w:t xml:space="preserve"> приватизации</w:t>
      </w:r>
      <w:r w:rsidR="000A47FA" w:rsidRPr="007C781D">
        <w:t xml:space="preserve"> на 2020 год реализация объектов на 1 квартал не планировалась.</w:t>
      </w:r>
    </w:p>
    <w:p w:rsidR="003A3ED7" w:rsidRPr="007C781D" w:rsidRDefault="003A3ED7" w:rsidP="00D378E2">
      <w:pPr>
        <w:ind w:firstLine="709"/>
        <w:jc w:val="both"/>
      </w:pPr>
      <w:r w:rsidRPr="007C781D">
        <w:t xml:space="preserve">Исполнение бюджетных назначений по платежам </w:t>
      </w:r>
      <w:r w:rsidRPr="0033283E">
        <w:rPr>
          <w:b/>
        </w:rPr>
        <w:t xml:space="preserve">за </w:t>
      </w:r>
      <w:r w:rsidRPr="0033283E">
        <w:rPr>
          <w:b/>
          <w:bCs/>
        </w:rPr>
        <w:t>пользование природными ресурсами</w:t>
      </w:r>
      <w:r w:rsidRPr="007C781D">
        <w:rPr>
          <w:bCs/>
        </w:rPr>
        <w:t xml:space="preserve"> </w:t>
      </w:r>
      <w:r w:rsidRPr="007C781D">
        <w:t xml:space="preserve">составило </w:t>
      </w:r>
      <w:r w:rsidRPr="007C781D">
        <w:rPr>
          <w:color w:val="000000"/>
        </w:rPr>
        <w:t xml:space="preserve"> </w:t>
      </w:r>
      <w:r w:rsidR="00BD4914" w:rsidRPr="007C781D">
        <w:rPr>
          <w:color w:val="000000"/>
        </w:rPr>
        <w:t xml:space="preserve">274 </w:t>
      </w:r>
      <w:r w:rsidRPr="007C781D">
        <w:t>тыс. руб</w:t>
      </w:r>
      <w:r w:rsidR="00D378E2" w:rsidRPr="007C781D">
        <w:t>.</w:t>
      </w:r>
      <w:r w:rsidRPr="007C781D">
        <w:t xml:space="preserve"> или </w:t>
      </w:r>
      <w:r w:rsidR="00BD4914" w:rsidRPr="007C781D">
        <w:t>7</w:t>
      </w:r>
      <w:r w:rsidR="00D378E2" w:rsidRPr="007C781D">
        <w:t>5,</w:t>
      </w:r>
      <w:r w:rsidR="006C10FF" w:rsidRPr="007C781D">
        <w:t>7</w:t>
      </w:r>
      <w:r w:rsidRPr="007C781D">
        <w:t xml:space="preserve">% от годового объема плановых назначений </w:t>
      </w:r>
      <w:r w:rsidR="00BD4914" w:rsidRPr="007C781D">
        <w:t>(362</w:t>
      </w:r>
      <w:r w:rsidRPr="007C781D">
        <w:t xml:space="preserve"> тыс. руб</w:t>
      </w:r>
      <w:r w:rsidR="00D378E2" w:rsidRPr="007C781D">
        <w:t>.</w:t>
      </w:r>
      <w:r w:rsidR="00BD4914" w:rsidRPr="007C781D">
        <w:t>)</w:t>
      </w:r>
      <w:r w:rsidRPr="007C781D">
        <w:t xml:space="preserve">, </w:t>
      </w:r>
      <w:r w:rsidR="00BD4914" w:rsidRPr="007C781D">
        <w:t>и</w:t>
      </w:r>
      <w:r w:rsidRPr="007C781D">
        <w:t xml:space="preserve"> </w:t>
      </w:r>
      <w:r w:rsidR="00D378E2" w:rsidRPr="007C781D">
        <w:t xml:space="preserve">на </w:t>
      </w:r>
      <w:r w:rsidR="006C10FF" w:rsidRPr="007C781D">
        <w:t>7</w:t>
      </w:r>
      <w:r w:rsidR="00BD4914" w:rsidRPr="007C781D">
        <w:t xml:space="preserve">4 </w:t>
      </w:r>
      <w:r w:rsidR="00D378E2" w:rsidRPr="007C781D">
        <w:t xml:space="preserve">тыс. руб. </w:t>
      </w:r>
      <w:r w:rsidR="00BD4914" w:rsidRPr="007C781D">
        <w:t>поступило больше</w:t>
      </w:r>
      <w:r w:rsidR="00D378E2" w:rsidRPr="007C781D">
        <w:t xml:space="preserve"> </w:t>
      </w:r>
      <w:r w:rsidR="00641876" w:rsidRPr="007C781D">
        <w:t xml:space="preserve">чем </w:t>
      </w:r>
      <w:r w:rsidR="00D378E2" w:rsidRPr="007C781D">
        <w:t>за аналогичный период 201</w:t>
      </w:r>
      <w:r w:rsidR="00641876" w:rsidRPr="007C781D">
        <w:t>9</w:t>
      </w:r>
      <w:r w:rsidR="00D378E2" w:rsidRPr="007C781D">
        <w:t xml:space="preserve"> года (</w:t>
      </w:r>
      <w:r w:rsidR="00641876" w:rsidRPr="007C781D">
        <w:t>200</w:t>
      </w:r>
      <w:r w:rsidR="00D378E2" w:rsidRPr="007C781D">
        <w:t xml:space="preserve"> тыс. руб.).</w:t>
      </w:r>
    </w:p>
    <w:p w:rsidR="00975A68" w:rsidRPr="007C781D" w:rsidRDefault="00975A68" w:rsidP="00D378E2">
      <w:pPr>
        <w:ind w:firstLine="709"/>
        <w:jc w:val="both"/>
      </w:pPr>
      <w:r w:rsidRPr="007C781D">
        <w:t>Исполнение бюджетных назначений по</w:t>
      </w:r>
      <w:r w:rsidRPr="007C781D">
        <w:rPr>
          <w:color w:val="000000"/>
          <w:sz w:val="18"/>
          <w:szCs w:val="18"/>
        </w:rPr>
        <w:t xml:space="preserve"> </w:t>
      </w:r>
      <w:r w:rsidRPr="007C781D">
        <w:rPr>
          <w:color w:val="000000"/>
        </w:rPr>
        <w:t xml:space="preserve">доходам </w:t>
      </w:r>
      <w:r w:rsidRPr="0033283E">
        <w:rPr>
          <w:b/>
          <w:color w:val="000000"/>
        </w:rPr>
        <w:t>от оказания платных услуг</w:t>
      </w:r>
      <w:r w:rsidRPr="007C781D">
        <w:rPr>
          <w:color w:val="000000"/>
        </w:rPr>
        <w:t xml:space="preserve"> </w:t>
      </w:r>
      <w:r w:rsidRPr="0033283E">
        <w:rPr>
          <w:b/>
          <w:color w:val="000000"/>
        </w:rPr>
        <w:t>и компенсации затрат государства</w:t>
      </w:r>
      <w:r w:rsidRPr="007C781D">
        <w:t xml:space="preserve"> составило </w:t>
      </w:r>
      <w:r w:rsidR="00641876" w:rsidRPr="007C781D">
        <w:t>3</w:t>
      </w:r>
      <w:r w:rsidRPr="007C781D">
        <w:t>3</w:t>
      </w:r>
      <w:r w:rsidRPr="007C781D">
        <w:rPr>
          <w:rFonts w:ascii="Calibri" w:hAnsi="Calibri"/>
          <w:color w:val="000000"/>
        </w:rPr>
        <w:t xml:space="preserve"> </w:t>
      </w:r>
      <w:r w:rsidRPr="007C781D">
        <w:t xml:space="preserve">тыс. руб. или </w:t>
      </w:r>
      <w:r w:rsidR="00641876" w:rsidRPr="007C781D">
        <w:t>4</w:t>
      </w:r>
      <w:r w:rsidRPr="007C781D">
        <w:t>,</w:t>
      </w:r>
      <w:r w:rsidR="00641876" w:rsidRPr="007C781D">
        <w:t>8</w:t>
      </w:r>
      <w:r w:rsidRPr="007C781D">
        <w:t xml:space="preserve">% от годового прогноза </w:t>
      </w:r>
      <w:r w:rsidR="00641876" w:rsidRPr="007C781D">
        <w:t>(690</w:t>
      </w:r>
      <w:r w:rsidRPr="007C781D">
        <w:t xml:space="preserve"> тыс. руб.</w:t>
      </w:r>
      <w:r w:rsidR="00641876" w:rsidRPr="007C781D">
        <w:t>)</w:t>
      </w:r>
      <w:r w:rsidRPr="007C781D">
        <w:t xml:space="preserve">, что на </w:t>
      </w:r>
      <w:r w:rsidR="00641876" w:rsidRPr="007C781D">
        <w:t>80</w:t>
      </w:r>
      <w:r w:rsidRPr="007C781D">
        <w:t xml:space="preserve"> тыс.</w:t>
      </w:r>
      <w:r w:rsidR="00641876" w:rsidRPr="007C781D">
        <w:t xml:space="preserve"> </w:t>
      </w:r>
      <w:r w:rsidRPr="007C781D">
        <w:t xml:space="preserve">руб. или на </w:t>
      </w:r>
      <w:r w:rsidR="004664E9">
        <w:t>70,8</w:t>
      </w:r>
      <w:r w:rsidRPr="007C781D">
        <w:t xml:space="preserve">% </w:t>
      </w:r>
      <w:r w:rsidR="00641876" w:rsidRPr="007C781D">
        <w:t>меньше</w:t>
      </w:r>
      <w:r w:rsidRPr="007C781D">
        <w:t xml:space="preserve"> объема поступлений за аналогичный период 201</w:t>
      </w:r>
      <w:r w:rsidR="00641876" w:rsidRPr="007C781D">
        <w:t>9</w:t>
      </w:r>
      <w:r w:rsidRPr="007C781D">
        <w:t xml:space="preserve"> года (</w:t>
      </w:r>
      <w:r w:rsidR="00641876" w:rsidRPr="007C781D">
        <w:t>113</w:t>
      </w:r>
      <w:r w:rsidRPr="007C781D">
        <w:t xml:space="preserve"> тыс. руб.). </w:t>
      </w:r>
      <w:r w:rsidR="00641876" w:rsidRPr="007C781D">
        <w:rPr>
          <w:color w:val="000000"/>
        </w:rPr>
        <w:t>Доходы в сумме 33 тыс. руб. поступили в счет гашения дебиторской задолженности прошлых лет. Доходы по возмещению эксплуатационных расходов от арендаторов в 1 квартале не поступали.</w:t>
      </w:r>
    </w:p>
    <w:p w:rsidR="006C10FF" w:rsidRPr="007C781D" w:rsidRDefault="006C10FF" w:rsidP="00371B92">
      <w:pPr>
        <w:ind w:firstLine="708"/>
        <w:jc w:val="both"/>
        <w:rPr>
          <w:color w:val="000000"/>
        </w:rPr>
      </w:pPr>
      <w:r w:rsidRPr="007C781D">
        <w:t xml:space="preserve">Исполнение бюджетных назначений по </w:t>
      </w:r>
      <w:r w:rsidRPr="0033283E">
        <w:rPr>
          <w:b/>
          <w:bCs/>
        </w:rPr>
        <w:t>штрафам, санкциям, возмещению ущерба</w:t>
      </w:r>
      <w:r w:rsidRPr="007C781D">
        <w:rPr>
          <w:bCs/>
        </w:rPr>
        <w:t xml:space="preserve"> </w:t>
      </w:r>
      <w:r w:rsidRPr="007C781D">
        <w:t xml:space="preserve">составило </w:t>
      </w:r>
      <w:r w:rsidR="00A74F06" w:rsidRPr="007C781D">
        <w:t>1252</w:t>
      </w:r>
      <w:r w:rsidRPr="007C781D">
        <w:rPr>
          <w:rFonts w:ascii="Calibri" w:hAnsi="Calibri"/>
          <w:color w:val="000000"/>
        </w:rPr>
        <w:t xml:space="preserve"> </w:t>
      </w:r>
      <w:r w:rsidRPr="007C781D">
        <w:t xml:space="preserve">тыс. руб. или </w:t>
      </w:r>
      <w:r w:rsidR="00A74F06" w:rsidRPr="007C781D">
        <w:t>108,1</w:t>
      </w:r>
      <w:r w:rsidRPr="007C781D">
        <w:t xml:space="preserve">% от годового прогноза </w:t>
      </w:r>
      <w:r w:rsidR="00A74F06" w:rsidRPr="007C781D">
        <w:t>(1158</w:t>
      </w:r>
      <w:r w:rsidRPr="007C781D">
        <w:t xml:space="preserve"> тыс. руб.</w:t>
      </w:r>
      <w:r w:rsidR="00A74F06" w:rsidRPr="007C781D">
        <w:t>)</w:t>
      </w:r>
      <w:r w:rsidRPr="007C781D">
        <w:t>.</w:t>
      </w:r>
      <w:r w:rsidR="00A74F06" w:rsidRPr="007C781D">
        <w:t xml:space="preserve"> </w:t>
      </w:r>
      <w:r w:rsidR="00461CEF" w:rsidRPr="007C781D">
        <w:t xml:space="preserve">В связи с изменением законодательства, в 2020 году </w:t>
      </w:r>
      <w:r w:rsidR="00D606E5" w:rsidRPr="007C781D">
        <w:t xml:space="preserve">основная сумма </w:t>
      </w:r>
      <w:r w:rsidR="00461CEF" w:rsidRPr="007C781D">
        <w:t>поступ</w:t>
      </w:r>
      <w:r w:rsidR="00D606E5" w:rsidRPr="007C781D">
        <w:t xml:space="preserve">ивших </w:t>
      </w:r>
      <w:r w:rsidR="00461CEF" w:rsidRPr="007C781D">
        <w:t>в бюджет штраф</w:t>
      </w:r>
      <w:r w:rsidR="00D606E5" w:rsidRPr="007C781D">
        <w:t>ов - штрафы</w:t>
      </w:r>
      <w:r w:rsidR="00461CEF" w:rsidRPr="007C781D">
        <w:t xml:space="preserve"> </w:t>
      </w:r>
      <w:r w:rsidR="00A74F06" w:rsidRPr="007C781D">
        <w:t>за правонарушения, возникшие до 01.01.2020 года.</w:t>
      </w:r>
    </w:p>
    <w:p w:rsidR="006C10FF" w:rsidRPr="007C781D" w:rsidRDefault="006C10FF" w:rsidP="006C10FF">
      <w:pPr>
        <w:ind w:firstLine="709"/>
        <w:jc w:val="both"/>
      </w:pPr>
      <w:r w:rsidRPr="007C781D">
        <w:t xml:space="preserve">Исполнение бюджетных назначений </w:t>
      </w:r>
      <w:r w:rsidRPr="0033283E">
        <w:rPr>
          <w:b/>
        </w:rPr>
        <w:t>по прочим неналоговым доходам</w:t>
      </w:r>
      <w:r w:rsidRPr="007C781D">
        <w:t xml:space="preserve"> составило </w:t>
      </w:r>
      <w:r w:rsidR="00461CEF" w:rsidRPr="007C781D">
        <w:t>424</w:t>
      </w:r>
      <w:r w:rsidRPr="007C781D">
        <w:rPr>
          <w:rFonts w:ascii="Calibri" w:hAnsi="Calibri"/>
          <w:color w:val="000000"/>
        </w:rPr>
        <w:t xml:space="preserve"> </w:t>
      </w:r>
      <w:r w:rsidRPr="007C781D">
        <w:t>тыс. руб. или 3</w:t>
      </w:r>
      <w:r w:rsidR="00461CEF" w:rsidRPr="007C781D">
        <w:t>9</w:t>
      </w:r>
      <w:r w:rsidRPr="007C781D">
        <w:t>,</w:t>
      </w:r>
      <w:r w:rsidR="00461CEF" w:rsidRPr="007C781D">
        <w:t>4</w:t>
      </w:r>
      <w:r w:rsidRPr="007C781D">
        <w:t xml:space="preserve">% от годового прогноза </w:t>
      </w:r>
      <w:r w:rsidR="00461CEF" w:rsidRPr="007C781D">
        <w:t>(1076</w:t>
      </w:r>
      <w:r w:rsidRPr="007C781D">
        <w:t xml:space="preserve"> тыс. руб.</w:t>
      </w:r>
      <w:r w:rsidR="00461CEF" w:rsidRPr="007C781D">
        <w:t>)</w:t>
      </w:r>
      <w:r w:rsidRPr="007C781D">
        <w:t xml:space="preserve">, </w:t>
      </w:r>
      <w:r w:rsidR="00461CEF" w:rsidRPr="007C781D">
        <w:t>и</w:t>
      </w:r>
      <w:r w:rsidRPr="007C781D">
        <w:t xml:space="preserve"> на </w:t>
      </w:r>
      <w:r w:rsidR="00461CEF" w:rsidRPr="007C781D">
        <w:t>12</w:t>
      </w:r>
      <w:r w:rsidR="00832797" w:rsidRPr="007C781D">
        <w:t>6</w:t>
      </w:r>
      <w:r w:rsidRPr="007C781D">
        <w:t xml:space="preserve"> тыс. руб. или на </w:t>
      </w:r>
      <w:r w:rsidR="00832797" w:rsidRPr="007C781D">
        <w:t>42,3</w:t>
      </w:r>
      <w:r w:rsidRPr="007C781D">
        <w:t xml:space="preserve">% </w:t>
      </w:r>
      <w:r w:rsidR="00832797" w:rsidRPr="007C781D">
        <w:t>больше</w:t>
      </w:r>
      <w:r w:rsidRPr="007C781D">
        <w:t xml:space="preserve"> объема поступлений за аналогичный период 201</w:t>
      </w:r>
      <w:r w:rsidR="00832797" w:rsidRPr="007C781D">
        <w:t>9</w:t>
      </w:r>
      <w:r w:rsidRPr="007C781D">
        <w:t xml:space="preserve"> года (2</w:t>
      </w:r>
      <w:r w:rsidR="00832797" w:rsidRPr="007C781D">
        <w:t>98</w:t>
      </w:r>
      <w:r w:rsidRPr="007C781D">
        <w:t xml:space="preserve"> тыс. руб.). </w:t>
      </w:r>
      <w:r w:rsidRPr="007C781D">
        <w:rPr>
          <w:color w:val="000000"/>
        </w:rPr>
        <w:t xml:space="preserve"> </w:t>
      </w:r>
    </w:p>
    <w:p w:rsidR="00832797" w:rsidRPr="007C781D" w:rsidRDefault="006C10FF" w:rsidP="00832797">
      <w:pPr>
        <w:ind w:firstLine="709"/>
        <w:jc w:val="both"/>
        <w:rPr>
          <w:lang w:eastAsia="en-US" w:bidi="en-US"/>
        </w:rPr>
      </w:pPr>
      <w:r w:rsidRPr="007C781D">
        <w:rPr>
          <w:lang w:eastAsia="en-US"/>
        </w:rPr>
        <w:t xml:space="preserve">В </w:t>
      </w:r>
      <w:r w:rsidR="00641876" w:rsidRPr="007C781D">
        <w:rPr>
          <w:lang w:eastAsia="en-US"/>
        </w:rPr>
        <w:t>объеме</w:t>
      </w:r>
      <w:r w:rsidRPr="007C781D">
        <w:rPr>
          <w:lang w:eastAsia="en-US"/>
        </w:rPr>
        <w:t xml:space="preserve"> прочих неналоговых доходов (</w:t>
      </w:r>
      <w:r w:rsidR="00832797" w:rsidRPr="007C781D">
        <w:rPr>
          <w:lang w:eastAsia="en-US"/>
        </w:rPr>
        <w:t>424</w:t>
      </w:r>
      <w:r w:rsidRPr="007C781D">
        <w:rPr>
          <w:lang w:eastAsia="en-US"/>
        </w:rPr>
        <w:t xml:space="preserve"> </w:t>
      </w:r>
      <w:proofErr w:type="spellStart"/>
      <w:r w:rsidRPr="007C781D">
        <w:rPr>
          <w:lang w:eastAsia="en-US"/>
        </w:rPr>
        <w:t>тыс</w:t>
      </w:r>
      <w:proofErr w:type="gramStart"/>
      <w:r w:rsidRPr="007C781D">
        <w:rPr>
          <w:lang w:eastAsia="en-US"/>
        </w:rPr>
        <w:t>.р</w:t>
      </w:r>
      <w:proofErr w:type="gramEnd"/>
      <w:r w:rsidRPr="007C781D">
        <w:rPr>
          <w:lang w:eastAsia="en-US"/>
        </w:rPr>
        <w:t>уб</w:t>
      </w:r>
      <w:proofErr w:type="spellEnd"/>
      <w:r w:rsidRPr="007C781D">
        <w:rPr>
          <w:lang w:eastAsia="en-US"/>
        </w:rPr>
        <w:t>.)</w:t>
      </w:r>
      <w:r w:rsidR="00832797" w:rsidRPr="007C781D">
        <w:rPr>
          <w:lang w:eastAsia="en-US"/>
        </w:rPr>
        <w:t xml:space="preserve"> поступили доходы от платы за </w:t>
      </w:r>
      <w:r w:rsidR="00832797" w:rsidRPr="007C781D">
        <w:rPr>
          <w:lang w:eastAsia="en-US" w:bidi="en-US"/>
        </w:rPr>
        <w:t xml:space="preserve">размещение сезонного объекта торговли и составили 45,1% </w:t>
      </w:r>
      <w:r w:rsidR="00832797" w:rsidRPr="007C781D">
        <w:t xml:space="preserve">исполнения годового плана (955 тыс. руб.). Доходы </w:t>
      </w:r>
      <w:r w:rsidRPr="007C781D">
        <w:rPr>
          <w:lang w:eastAsia="en-US" w:bidi="en-US"/>
        </w:rPr>
        <w:t xml:space="preserve">за </w:t>
      </w:r>
      <w:r w:rsidR="00832797" w:rsidRPr="007C781D">
        <w:rPr>
          <w:lang w:eastAsia="en-US" w:bidi="en-US"/>
        </w:rPr>
        <w:t xml:space="preserve">выдачу разрешений на снос зеленых насаждений при установленном плане в сумме </w:t>
      </w:r>
      <w:r w:rsidR="009E612B" w:rsidRPr="007C781D">
        <w:rPr>
          <w:lang w:eastAsia="en-US" w:bidi="en-US"/>
        </w:rPr>
        <w:t xml:space="preserve">121 тыс. руб. </w:t>
      </w:r>
      <w:r w:rsidR="00832797" w:rsidRPr="007C781D">
        <w:rPr>
          <w:lang w:eastAsia="en-US" w:bidi="en-US"/>
        </w:rPr>
        <w:t>в отчетном периоде не поступали.</w:t>
      </w:r>
    </w:p>
    <w:p w:rsidR="006C10FF" w:rsidRDefault="006C10FF" w:rsidP="00371B92">
      <w:pPr>
        <w:ind w:firstLine="708"/>
        <w:jc w:val="both"/>
        <w:rPr>
          <w:color w:val="000000"/>
        </w:rPr>
      </w:pPr>
    </w:p>
    <w:p w:rsidR="009E612B" w:rsidRDefault="0029539B" w:rsidP="0029539B">
      <w:pPr>
        <w:ind w:firstLine="708"/>
        <w:jc w:val="both"/>
        <w:rPr>
          <w:rFonts w:eastAsia="SimSun"/>
          <w:lang w:eastAsia="zh-CN"/>
        </w:rPr>
      </w:pPr>
      <w:r>
        <w:rPr>
          <w:b/>
          <w:i/>
          <w:color w:val="000000" w:themeColor="text1"/>
          <w:shd w:val="clear" w:color="auto" w:fill="FFFFFF" w:themeFill="background1"/>
        </w:rPr>
        <w:t xml:space="preserve">             </w:t>
      </w:r>
      <w:r w:rsidRPr="00D51E4F">
        <w:rPr>
          <w:b/>
          <w:color w:val="000000" w:themeColor="text1"/>
          <w:shd w:val="clear" w:color="auto" w:fill="FFFFFF" w:themeFill="background1"/>
        </w:rPr>
        <w:t>2.2. Исполнение</w:t>
      </w:r>
      <w:r w:rsidRPr="00D51E4F">
        <w:rPr>
          <w:rFonts w:eastAsia="SimSun"/>
          <w:b/>
          <w:lang w:eastAsia="zh-CN"/>
        </w:rPr>
        <w:t xml:space="preserve"> безвозмездных поступлений</w:t>
      </w:r>
    </w:p>
    <w:p w:rsidR="007A4718" w:rsidRDefault="007A4718" w:rsidP="0029539B">
      <w:pPr>
        <w:ind w:firstLine="708"/>
        <w:jc w:val="both"/>
        <w:rPr>
          <w:rFonts w:eastAsia="SimSun"/>
          <w:lang w:eastAsia="zh-CN"/>
        </w:rPr>
      </w:pPr>
    </w:p>
    <w:p w:rsidR="00F66B94" w:rsidRPr="009A36D5" w:rsidRDefault="00445940" w:rsidP="0029539B">
      <w:pPr>
        <w:ind w:firstLine="708"/>
        <w:jc w:val="both"/>
        <w:rPr>
          <w:color w:val="000000"/>
        </w:rPr>
      </w:pPr>
      <w:r w:rsidRPr="009A36D5">
        <w:rPr>
          <w:rFonts w:eastAsia="SimSun"/>
          <w:lang w:eastAsia="zh-CN"/>
        </w:rPr>
        <w:t xml:space="preserve">С учетом возврата остатков прошлых лет </w:t>
      </w:r>
      <w:r w:rsidR="003B6C77">
        <w:rPr>
          <w:rFonts w:eastAsia="SimSun"/>
          <w:lang w:eastAsia="zh-CN"/>
        </w:rPr>
        <w:t xml:space="preserve">кассовое исполнение по </w:t>
      </w:r>
      <w:r w:rsidRPr="009A36D5">
        <w:rPr>
          <w:rFonts w:eastAsia="SimSun"/>
          <w:lang w:eastAsia="zh-CN"/>
        </w:rPr>
        <w:t>б</w:t>
      </w:r>
      <w:r w:rsidR="0029539B" w:rsidRPr="009A36D5">
        <w:rPr>
          <w:rFonts w:eastAsia="SimSun"/>
          <w:lang w:eastAsia="zh-CN"/>
        </w:rPr>
        <w:t>езвозмездны</w:t>
      </w:r>
      <w:r w:rsidR="003B6C77">
        <w:rPr>
          <w:rFonts w:eastAsia="SimSun"/>
          <w:lang w:eastAsia="zh-CN"/>
        </w:rPr>
        <w:t>м</w:t>
      </w:r>
      <w:r w:rsidR="0029539B" w:rsidRPr="009A36D5">
        <w:rPr>
          <w:rFonts w:eastAsia="SimSun"/>
          <w:lang w:eastAsia="zh-CN"/>
        </w:rPr>
        <w:t xml:space="preserve"> поступления</w:t>
      </w:r>
      <w:r w:rsidR="003B6C77">
        <w:rPr>
          <w:rFonts w:eastAsia="SimSun"/>
          <w:lang w:eastAsia="zh-CN"/>
        </w:rPr>
        <w:t>м</w:t>
      </w:r>
      <w:r w:rsidR="0029539B" w:rsidRPr="009A36D5">
        <w:rPr>
          <w:rFonts w:eastAsia="SimSun"/>
          <w:lang w:eastAsia="zh-CN"/>
        </w:rPr>
        <w:t xml:space="preserve"> </w:t>
      </w:r>
      <w:r w:rsidR="003B6C77">
        <w:rPr>
          <w:rFonts w:eastAsia="SimSun"/>
          <w:lang w:eastAsia="zh-CN"/>
        </w:rPr>
        <w:t>составило</w:t>
      </w:r>
      <w:r w:rsidR="00D14A0E" w:rsidRPr="009A36D5">
        <w:rPr>
          <w:rFonts w:eastAsia="SimSun"/>
          <w:lang w:eastAsia="zh-CN"/>
        </w:rPr>
        <w:t xml:space="preserve"> в </w:t>
      </w:r>
      <w:r w:rsidRPr="009A36D5">
        <w:rPr>
          <w:rFonts w:eastAsia="SimSun"/>
          <w:lang w:eastAsia="zh-CN"/>
        </w:rPr>
        <w:t>общей сумме</w:t>
      </w:r>
      <w:r w:rsidR="009E612B" w:rsidRPr="009A36D5">
        <w:rPr>
          <w:rFonts w:eastAsia="SimSun"/>
          <w:lang w:eastAsia="zh-CN"/>
        </w:rPr>
        <w:t xml:space="preserve"> </w:t>
      </w:r>
      <w:r w:rsidRPr="009A36D5">
        <w:rPr>
          <w:rFonts w:eastAsia="SimSun"/>
          <w:lang w:eastAsia="zh-CN"/>
        </w:rPr>
        <w:t>139230</w:t>
      </w:r>
      <w:r w:rsidR="00D14A0E" w:rsidRPr="009A36D5">
        <w:rPr>
          <w:rFonts w:eastAsia="SimSun"/>
          <w:lang w:eastAsia="zh-CN"/>
        </w:rPr>
        <w:t xml:space="preserve"> тыс. руб. или 2</w:t>
      </w:r>
      <w:r w:rsidRPr="009A36D5">
        <w:rPr>
          <w:rFonts w:eastAsia="SimSun"/>
          <w:lang w:eastAsia="zh-CN"/>
        </w:rPr>
        <w:t>1,</w:t>
      </w:r>
      <w:r w:rsidR="00D14A0E" w:rsidRPr="009A36D5">
        <w:rPr>
          <w:rFonts w:eastAsia="SimSun"/>
          <w:lang w:eastAsia="zh-CN"/>
        </w:rPr>
        <w:t>2%</w:t>
      </w:r>
      <w:r w:rsidRPr="009A36D5">
        <w:rPr>
          <w:rFonts w:eastAsia="SimSun"/>
          <w:lang w:eastAsia="zh-CN"/>
        </w:rPr>
        <w:t xml:space="preserve"> от годового объема плановых назначений</w:t>
      </w:r>
      <w:r w:rsidR="003D5B7C" w:rsidRPr="009A36D5">
        <w:rPr>
          <w:rFonts w:eastAsia="SimSun"/>
          <w:lang w:eastAsia="zh-CN"/>
        </w:rPr>
        <w:t xml:space="preserve">, </w:t>
      </w:r>
      <w:r w:rsidR="00F66B94" w:rsidRPr="009A36D5">
        <w:rPr>
          <w:color w:val="000000"/>
        </w:rPr>
        <w:t xml:space="preserve">в том числе: </w:t>
      </w:r>
    </w:p>
    <w:p w:rsidR="009A36D5" w:rsidRPr="009A36D5" w:rsidRDefault="00F66B94" w:rsidP="00F66B94">
      <w:pPr>
        <w:pStyle w:val="a8"/>
        <w:spacing w:before="0" w:beforeAutospacing="0" w:after="0" w:afterAutospacing="0"/>
        <w:ind w:firstLine="708"/>
        <w:jc w:val="both"/>
      </w:pPr>
      <w:r w:rsidRPr="009A36D5">
        <w:lastRenderedPageBreak/>
        <w:t xml:space="preserve">- </w:t>
      </w:r>
      <w:r w:rsidRPr="009A36D5">
        <w:rPr>
          <w:bCs/>
        </w:rPr>
        <w:t>дотаци</w:t>
      </w:r>
      <w:r w:rsidR="00E259E4" w:rsidRPr="009A36D5">
        <w:rPr>
          <w:bCs/>
        </w:rPr>
        <w:t>и</w:t>
      </w:r>
      <w:r w:rsidRPr="009A36D5">
        <w:t xml:space="preserve"> </w:t>
      </w:r>
      <w:r w:rsidR="003B6C77">
        <w:t xml:space="preserve">по обеспечению сбалансированности </w:t>
      </w:r>
      <w:r w:rsidRPr="009A36D5">
        <w:t>бюджето</w:t>
      </w:r>
      <w:r w:rsidR="003B6C77">
        <w:t>в</w:t>
      </w:r>
      <w:r w:rsidRPr="009A36D5">
        <w:t xml:space="preserve"> </w:t>
      </w:r>
      <w:r w:rsidR="009A36D5" w:rsidRPr="009A36D5">
        <w:t>–</w:t>
      </w:r>
      <w:r w:rsidR="00E259E4" w:rsidRPr="009A36D5">
        <w:t xml:space="preserve"> </w:t>
      </w:r>
      <w:r w:rsidR="009A36D5" w:rsidRPr="009A36D5">
        <w:t>при утвержденном годовом объеме плановых назначений в сумме 9111,2 тыс. руб. исполнено 35714 тыс. руб.,</w:t>
      </w:r>
    </w:p>
    <w:p w:rsidR="009A36D5" w:rsidRPr="009A36D5" w:rsidRDefault="00F66B94" w:rsidP="00F66B94">
      <w:pPr>
        <w:ind w:firstLine="709"/>
        <w:jc w:val="both"/>
      </w:pPr>
      <w:r w:rsidRPr="009A36D5">
        <w:t>- субсиди</w:t>
      </w:r>
      <w:r w:rsidR="00E259E4" w:rsidRPr="009A36D5">
        <w:t>и -</w:t>
      </w:r>
      <w:r w:rsidRPr="009A36D5">
        <w:t xml:space="preserve"> </w:t>
      </w:r>
      <w:r w:rsidR="009A36D5" w:rsidRPr="009A36D5">
        <w:t xml:space="preserve">при утвержденном годовом объеме в сумме 134828,5 тыс. руб. исполнено </w:t>
      </w:r>
      <w:r w:rsidRPr="009A36D5">
        <w:t>0 руб.</w:t>
      </w:r>
      <w:r w:rsidR="009A36D5">
        <w:t>,</w:t>
      </w:r>
    </w:p>
    <w:p w:rsidR="00F66B94" w:rsidRPr="009A36D5" w:rsidRDefault="009A36D5" w:rsidP="00F66B94">
      <w:pPr>
        <w:ind w:firstLine="709"/>
        <w:jc w:val="both"/>
        <w:rPr>
          <w:sz w:val="28"/>
          <w:szCs w:val="28"/>
        </w:rPr>
      </w:pPr>
      <w:r w:rsidRPr="009A36D5">
        <w:t xml:space="preserve"> </w:t>
      </w:r>
      <w:r w:rsidR="00F66B94" w:rsidRPr="009A36D5">
        <w:t>- субвенци</w:t>
      </w:r>
      <w:r w:rsidR="00E259E4" w:rsidRPr="009A36D5">
        <w:t xml:space="preserve">и - </w:t>
      </w:r>
      <w:r>
        <w:t>при утвержденном годовом объеме в сумме</w:t>
      </w:r>
      <w:r w:rsidRPr="009A36D5">
        <w:t xml:space="preserve"> </w:t>
      </w:r>
      <w:r>
        <w:t xml:space="preserve">512539,4 тыс. руб. исполнено </w:t>
      </w:r>
      <w:r w:rsidR="00B9612D" w:rsidRPr="009A36D5">
        <w:t>108797</w:t>
      </w:r>
      <w:r w:rsidR="00F66B94" w:rsidRPr="009A36D5">
        <w:t xml:space="preserve"> тыс. руб. или 2</w:t>
      </w:r>
      <w:r w:rsidR="00B9612D" w:rsidRPr="009A36D5">
        <w:t>1</w:t>
      </w:r>
      <w:r w:rsidR="00F66B94" w:rsidRPr="009A36D5">
        <w:t>,2%.</w:t>
      </w:r>
      <w:r w:rsidR="00F66B94" w:rsidRPr="009A36D5">
        <w:rPr>
          <w:sz w:val="28"/>
          <w:szCs w:val="28"/>
        </w:rPr>
        <w:t xml:space="preserve"> </w:t>
      </w:r>
    </w:p>
    <w:p w:rsidR="00F66B94" w:rsidRPr="009A36D5" w:rsidRDefault="00F66B94" w:rsidP="00F66B94">
      <w:pPr>
        <w:ind w:firstLine="709"/>
        <w:jc w:val="both"/>
      </w:pPr>
      <w:r w:rsidRPr="009A36D5">
        <w:t xml:space="preserve">Возврат в бюджеты бюджетной системы РФ  остатков субсидий, субвенций и иных межбюджетных трансфертов прошлых лет, имеющих целевое назначение, составил </w:t>
      </w:r>
      <w:r w:rsidR="009A36D5">
        <w:t>5282</w:t>
      </w:r>
      <w:r w:rsidRPr="009A36D5">
        <w:t xml:space="preserve"> тыс. руб.</w:t>
      </w:r>
    </w:p>
    <w:p w:rsidR="00F66B94" w:rsidRDefault="00F66B94" w:rsidP="00F66B94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</w:p>
    <w:p w:rsidR="00D51E4F" w:rsidRDefault="00161CC9" w:rsidP="00F66B94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161CC9">
        <w:rPr>
          <w:b/>
          <w:bCs/>
          <w:i/>
          <w:lang w:eastAsia="en-US"/>
        </w:rPr>
        <w:t>2.3.</w:t>
      </w:r>
      <w:r>
        <w:rPr>
          <w:b/>
          <w:bCs/>
          <w:i/>
          <w:lang w:eastAsia="en-US"/>
        </w:rPr>
        <w:t xml:space="preserve"> </w:t>
      </w:r>
      <w:r w:rsidR="00F66B94" w:rsidRPr="00D51E4F">
        <w:rPr>
          <w:b/>
          <w:bCs/>
          <w:lang w:eastAsia="en-US"/>
        </w:rPr>
        <w:t xml:space="preserve">Задолженность в бюджет </w:t>
      </w:r>
      <w:r w:rsidR="00CA58EE" w:rsidRPr="00D51E4F">
        <w:rPr>
          <w:b/>
          <w:bCs/>
          <w:lang w:eastAsia="en-US"/>
        </w:rPr>
        <w:t>по обязательным платежам, администрируемым Управлением имущественных отношений администрации городского округа</w:t>
      </w:r>
    </w:p>
    <w:p w:rsidR="007A4718" w:rsidRDefault="007A4718" w:rsidP="00F66B94">
      <w:pPr>
        <w:autoSpaceDE w:val="0"/>
        <w:autoSpaceDN w:val="0"/>
        <w:adjustRightInd w:val="0"/>
        <w:ind w:firstLine="708"/>
        <w:jc w:val="both"/>
      </w:pPr>
    </w:p>
    <w:p w:rsidR="00F66B94" w:rsidRDefault="00F66B94" w:rsidP="00F66B94">
      <w:pPr>
        <w:autoSpaceDE w:val="0"/>
        <w:autoSpaceDN w:val="0"/>
        <w:adjustRightInd w:val="0"/>
        <w:ind w:firstLine="708"/>
        <w:jc w:val="both"/>
      </w:pPr>
      <w:r>
        <w:t>П</w:t>
      </w:r>
      <w:r w:rsidRPr="00CE4F9D">
        <w:t>о состоянию на 01.</w:t>
      </w:r>
      <w:r>
        <w:t>04.20</w:t>
      </w:r>
      <w:r w:rsidR="009A36D5">
        <w:t>20</w:t>
      </w:r>
      <w:r w:rsidRPr="00CE4F9D">
        <w:t xml:space="preserve"> недоимка </w:t>
      </w:r>
      <w:r>
        <w:t xml:space="preserve">в бюджет по неналоговым доходам составила </w:t>
      </w:r>
      <w:r w:rsidRPr="00CE4F9D">
        <w:t xml:space="preserve">в сумме </w:t>
      </w:r>
      <w:r w:rsidR="00D606E5" w:rsidRPr="00070D4B">
        <w:rPr>
          <w:b/>
        </w:rPr>
        <w:t>34289,9</w:t>
      </w:r>
      <w:r w:rsidRPr="001A03EA">
        <w:t xml:space="preserve"> </w:t>
      </w:r>
      <w:proofErr w:type="spellStart"/>
      <w:r w:rsidRPr="001A03EA">
        <w:t>тыс</w:t>
      </w:r>
      <w:proofErr w:type="gramStart"/>
      <w:r w:rsidRPr="001A03EA">
        <w:t>.р</w:t>
      </w:r>
      <w:proofErr w:type="gramEnd"/>
      <w:r w:rsidRPr="001A03EA">
        <w:t>уб</w:t>
      </w:r>
      <w:proofErr w:type="spellEnd"/>
      <w:r w:rsidRPr="001A03EA">
        <w:t>.</w:t>
      </w:r>
      <w:r w:rsidR="00C231AB">
        <w:t xml:space="preserve">, с ростом к началу года на </w:t>
      </w:r>
      <w:r w:rsidR="00D606E5" w:rsidRPr="00070D4B">
        <w:rPr>
          <w:b/>
        </w:rPr>
        <w:t>3533,7</w:t>
      </w:r>
      <w:r w:rsidR="005D05B4">
        <w:t xml:space="preserve"> </w:t>
      </w:r>
      <w:r w:rsidRPr="00440C1D">
        <w:t>тыс.</w:t>
      </w:r>
      <w:r w:rsidR="00D606E5">
        <w:t xml:space="preserve"> </w:t>
      </w:r>
      <w:r w:rsidRPr="00440C1D">
        <w:t>руб.</w:t>
      </w:r>
      <w:r w:rsidRPr="008C6C41">
        <w:t xml:space="preserve"> </w:t>
      </w:r>
      <w:r>
        <w:t>или</w:t>
      </w:r>
      <w:r w:rsidR="00C231AB">
        <w:t xml:space="preserve"> </w:t>
      </w:r>
      <w:r w:rsidRPr="00440C1D">
        <w:t xml:space="preserve"> </w:t>
      </w:r>
      <w:r w:rsidR="00C231AB">
        <w:t xml:space="preserve">на </w:t>
      </w:r>
      <w:r w:rsidR="00D606E5">
        <w:t>11,5</w:t>
      </w:r>
      <w:r w:rsidRPr="00440C1D">
        <w:t>%</w:t>
      </w:r>
      <w:r w:rsidR="00731EF0">
        <w:t>.</w:t>
      </w:r>
    </w:p>
    <w:p w:rsidR="00CA58EE" w:rsidRDefault="00F66B94" w:rsidP="00F66B94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  <w:r>
        <w:t xml:space="preserve">                                                          </w:t>
      </w:r>
      <w:r w:rsidR="00143E35">
        <w:tab/>
      </w:r>
      <w:r w:rsidR="00143E35">
        <w:tab/>
      </w:r>
      <w:r w:rsidR="00143E35">
        <w:tab/>
      </w:r>
      <w:r>
        <w:t xml:space="preserve">                                        </w:t>
      </w:r>
      <w:r w:rsidRPr="00682E3A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 xml:space="preserve">       </w:t>
      </w:r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(</w:t>
      </w:r>
      <w:proofErr w:type="spellStart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тыс</w:t>
      </w:r>
      <w:proofErr w:type="gramStart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.р</w:t>
      </w:r>
      <w:proofErr w:type="gramEnd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уб</w:t>
      </w:r>
      <w:proofErr w:type="spellEnd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.)</w:t>
      </w:r>
    </w:p>
    <w:tbl>
      <w:tblPr>
        <w:tblStyle w:val="41"/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275"/>
        <w:gridCol w:w="1310"/>
      </w:tblGrid>
      <w:tr w:rsidR="00CA58EE" w:rsidRPr="00CA58EE" w:rsidTr="007C528C">
        <w:trPr>
          <w:trHeight w:val="240"/>
        </w:trPr>
        <w:tc>
          <w:tcPr>
            <w:tcW w:w="4678" w:type="dxa"/>
            <w:vMerge w:val="restart"/>
            <w:tcBorders>
              <w:bottom w:val="single" w:sz="4" w:space="0" w:color="000000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Наименование дохода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Задолженность </w:t>
            </w:r>
          </w:p>
        </w:tc>
        <w:tc>
          <w:tcPr>
            <w:tcW w:w="1310" w:type="dxa"/>
            <w:vMerge w:val="restart"/>
            <w:tcBorders>
              <w:bottom w:val="single" w:sz="4" w:space="0" w:color="000000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Темп роста </w:t>
            </w:r>
          </w:p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        </w:t>
            </w: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(%)</w:t>
            </w:r>
          </w:p>
        </w:tc>
      </w:tr>
      <w:tr w:rsidR="00CA58EE" w:rsidRPr="00CA58EE" w:rsidTr="007C528C">
        <w:trPr>
          <w:trHeight w:val="288"/>
        </w:trPr>
        <w:tc>
          <w:tcPr>
            <w:tcW w:w="4678" w:type="dxa"/>
            <w:vMerge/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58EE" w:rsidRPr="00CA58EE" w:rsidRDefault="00CA58EE" w:rsidP="0047428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01.01.20</w:t>
            </w:r>
            <w:r w:rsidR="00474284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58EE" w:rsidRPr="00CA58EE" w:rsidRDefault="00CA58EE" w:rsidP="0047428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.20</w:t>
            </w:r>
            <w:r w:rsidR="00474284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Рос</w:t>
            </w:r>
            <w:proofErr w:type="gramStart"/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т(</w:t>
            </w:r>
            <w:proofErr w:type="gramEnd"/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+), снижение(-)</w:t>
            </w:r>
          </w:p>
        </w:tc>
        <w:tc>
          <w:tcPr>
            <w:tcW w:w="1310" w:type="dxa"/>
            <w:vMerge/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D05B4" w:rsidRPr="00CA58EE" w:rsidTr="007C528C">
        <w:tc>
          <w:tcPr>
            <w:tcW w:w="4678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rFonts w:eastAsia="Calibri"/>
                <w:sz w:val="20"/>
                <w:szCs w:val="20"/>
                <w:lang w:eastAsia="en-US"/>
              </w:rPr>
              <w:t>От сдачи в аренду муниципального имущества</w:t>
            </w:r>
          </w:p>
        </w:tc>
        <w:tc>
          <w:tcPr>
            <w:tcW w:w="1134" w:type="dxa"/>
            <w:vAlign w:val="center"/>
          </w:tcPr>
          <w:p w:rsidR="005D05B4" w:rsidRPr="00CA58EE" w:rsidRDefault="00377429" w:rsidP="00F21D4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1949,3</w:t>
            </w:r>
          </w:p>
        </w:tc>
        <w:tc>
          <w:tcPr>
            <w:tcW w:w="1134" w:type="dxa"/>
            <w:vAlign w:val="center"/>
          </w:tcPr>
          <w:p w:rsidR="005D05B4" w:rsidRPr="00CA58EE" w:rsidRDefault="00377429" w:rsidP="00F21D4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2311,6</w:t>
            </w:r>
          </w:p>
        </w:tc>
        <w:tc>
          <w:tcPr>
            <w:tcW w:w="1275" w:type="dxa"/>
            <w:vAlign w:val="center"/>
          </w:tcPr>
          <w:p w:rsidR="005D05B4" w:rsidRDefault="00377429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+362,3</w:t>
            </w:r>
          </w:p>
        </w:tc>
        <w:tc>
          <w:tcPr>
            <w:tcW w:w="1310" w:type="dxa"/>
            <w:vAlign w:val="center"/>
          </w:tcPr>
          <w:p w:rsidR="005D05B4" w:rsidRDefault="00D606E5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118,6</w:t>
            </w:r>
          </w:p>
        </w:tc>
      </w:tr>
      <w:tr w:rsidR="005D05B4" w:rsidRPr="00CA58EE" w:rsidTr="007C528C">
        <w:tc>
          <w:tcPr>
            <w:tcW w:w="4678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A58EE">
              <w:rPr>
                <w:iCs/>
                <w:sz w:val="20"/>
                <w:szCs w:val="20"/>
              </w:rPr>
              <w:t>От перечисления части прибыли МУП, остающейся после уплаты налогов</w:t>
            </w:r>
          </w:p>
        </w:tc>
        <w:tc>
          <w:tcPr>
            <w:tcW w:w="1134" w:type="dxa"/>
            <w:vAlign w:val="center"/>
          </w:tcPr>
          <w:p w:rsidR="005D05B4" w:rsidRPr="00CA58EE" w:rsidRDefault="00377429" w:rsidP="00F21D4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489,7</w:t>
            </w:r>
          </w:p>
        </w:tc>
        <w:tc>
          <w:tcPr>
            <w:tcW w:w="1134" w:type="dxa"/>
            <w:vAlign w:val="center"/>
          </w:tcPr>
          <w:p w:rsidR="005D05B4" w:rsidRPr="00CA58EE" w:rsidRDefault="00377429" w:rsidP="00F21D4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489,7</w:t>
            </w:r>
          </w:p>
        </w:tc>
        <w:tc>
          <w:tcPr>
            <w:tcW w:w="1275" w:type="dxa"/>
            <w:vAlign w:val="center"/>
          </w:tcPr>
          <w:p w:rsidR="005D05B4" w:rsidRDefault="00D606E5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0" w:type="dxa"/>
            <w:vAlign w:val="center"/>
          </w:tcPr>
          <w:p w:rsidR="005D05B4" w:rsidRDefault="00D606E5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D05B4" w:rsidRPr="00CA58EE" w:rsidTr="007C528C">
        <w:trPr>
          <w:trHeight w:val="305"/>
        </w:trPr>
        <w:tc>
          <w:tcPr>
            <w:tcW w:w="4678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sz w:val="20"/>
                <w:szCs w:val="20"/>
              </w:rPr>
              <w:t>От арендной платы за земельные участки</w:t>
            </w:r>
          </w:p>
        </w:tc>
        <w:tc>
          <w:tcPr>
            <w:tcW w:w="1134" w:type="dxa"/>
            <w:vAlign w:val="center"/>
          </w:tcPr>
          <w:p w:rsidR="005D05B4" w:rsidRPr="00CA58EE" w:rsidRDefault="00474284" w:rsidP="00F21D4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22216,9</w:t>
            </w:r>
          </w:p>
        </w:tc>
        <w:tc>
          <w:tcPr>
            <w:tcW w:w="1134" w:type="dxa"/>
            <w:vAlign w:val="center"/>
          </w:tcPr>
          <w:p w:rsidR="005D05B4" w:rsidRPr="00CA58EE" w:rsidRDefault="00474284" w:rsidP="00F21D4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25037,8</w:t>
            </w:r>
          </w:p>
        </w:tc>
        <w:tc>
          <w:tcPr>
            <w:tcW w:w="1275" w:type="dxa"/>
            <w:vAlign w:val="center"/>
          </w:tcPr>
          <w:p w:rsidR="005D05B4" w:rsidRDefault="00377429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+2820,9</w:t>
            </w:r>
          </w:p>
        </w:tc>
        <w:tc>
          <w:tcPr>
            <w:tcW w:w="1310" w:type="dxa"/>
            <w:vAlign w:val="center"/>
          </w:tcPr>
          <w:p w:rsidR="005D05B4" w:rsidRDefault="00D606E5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112,7</w:t>
            </w:r>
          </w:p>
        </w:tc>
      </w:tr>
      <w:tr w:rsidR="005D05B4" w:rsidRPr="00CA58EE" w:rsidTr="007C528C">
        <w:tc>
          <w:tcPr>
            <w:tcW w:w="4678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организаций)</w:t>
            </w:r>
          </w:p>
        </w:tc>
        <w:tc>
          <w:tcPr>
            <w:tcW w:w="1134" w:type="dxa"/>
            <w:vAlign w:val="center"/>
          </w:tcPr>
          <w:p w:rsidR="005D05B4" w:rsidRPr="00CA58EE" w:rsidRDefault="00377429" w:rsidP="00F21D4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874,6</w:t>
            </w:r>
          </w:p>
        </w:tc>
        <w:tc>
          <w:tcPr>
            <w:tcW w:w="1134" w:type="dxa"/>
            <w:vAlign w:val="center"/>
          </w:tcPr>
          <w:p w:rsidR="005D05B4" w:rsidRPr="00CA58EE" w:rsidRDefault="00377429" w:rsidP="00F21D4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938,6</w:t>
            </w:r>
          </w:p>
        </w:tc>
        <w:tc>
          <w:tcPr>
            <w:tcW w:w="1275" w:type="dxa"/>
            <w:vAlign w:val="center"/>
          </w:tcPr>
          <w:p w:rsidR="005D05B4" w:rsidRDefault="00377429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+64</w:t>
            </w:r>
          </w:p>
        </w:tc>
        <w:tc>
          <w:tcPr>
            <w:tcW w:w="1310" w:type="dxa"/>
            <w:vAlign w:val="center"/>
          </w:tcPr>
          <w:p w:rsidR="005D05B4" w:rsidRDefault="00D606E5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107,2</w:t>
            </w:r>
          </w:p>
        </w:tc>
      </w:tr>
      <w:tr w:rsidR="005D05B4" w:rsidRPr="00CA58EE" w:rsidTr="007C528C">
        <w:tc>
          <w:tcPr>
            <w:tcW w:w="4678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нанимателей  помещений)</w:t>
            </w:r>
          </w:p>
        </w:tc>
        <w:tc>
          <w:tcPr>
            <w:tcW w:w="1134" w:type="dxa"/>
            <w:vAlign w:val="center"/>
          </w:tcPr>
          <w:p w:rsidR="005D05B4" w:rsidRPr="00CA58EE" w:rsidRDefault="00377429" w:rsidP="00F21D4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5196,9</w:t>
            </w:r>
          </w:p>
        </w:tc>
        <w:tc>
          <w:tcPr>
            <w:tcW w:w="1134" w:type="dxa"/>
            <w:vAlign w:val="center"/>
          </w:tcPr>
          <w:p w:rsidR="005D05B4" w:rsidRPr="00CA58EE" w:rsidRDefault="00377429" w:rsidP="00F21D4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5162,9</w:t>
            </w:r>
          </w:p>
        </w:tc>
        <w:tc>
          <w:tcPr>
            <w:tcW w:w="1275" w:type="dxa"/>
            <w:vAlign w:val="center"/>
          </w:tcPr>
          <w:p w:rsidR="005D05B4" w:rsidRDefault="00377429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</w:t>
            </w:r>
          </w:p>
        </w:tc>
        <w:tc>
          <w:tcPr>
            <w:tcW w:w="1310" w:type="dxa"/>
            <w:vAlign w:val="center"/>
          </w:tcPr>
          <w:p w:rsidR="005D05B4" w:rsidRDefault="00D606E5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5D05B4" w:rsidRPr="00CA58EE" w:rsidTr="007C528C">
        <w:tc>
          <w:tcPr>
            <w:tcW w:w="4678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sz w:val="20"/>
                <w:szCs w:val="20"/>
              </w:rPr>
              <w:t xml:space="preserve">Плата по договорам на установку рекламной конструкции  </w:t>
            </w:r>
          </w:p>
        </w:tc>
        <w:tc>
          <w:tcPr>
            <w:tcW w:w="1134" w:type="dxa"/>
            <w:vAlign w:val="center"/>
          </w:tcPr>
          <w:p w:rsidR="005D05B4" w:rsidRPr="00CA58EE" w:rsidRDefault="00474284" w:rsidP="00F21D4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28,8</w:t>
            </w:r>
          </w:p>
        </w:tc>
        <w:tc>
          <w:tcPr>
            <w:tcW w:w="1134" w:type="dxa"/>
            <w:vAlign w:val="center"/>
          </w:tcPr>
          <w:p w:rsidR="005D05B4" w:rsidRPr="00CA58EE" w:rsidRDefault="00474284" w:rsidP="00F21D4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349,3</w:t>
            </w:r>
          </w:p>
        </w:tc>
        <w:tc>
          <w:tcPr>
            <w:tcW w:w="1275" w:type="dxa"/>
            <w:vAlign w:val="center"/>
          </w:tcPr>
          <w:p w:rsidR="005D05B4" w:rsidRDefault="00377429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+320,5</w:t>
            </w:r>
          </w:p>
        </w:tc>
        <w:tc>
          <w:tcPr>
            <w:tcW w:w="1310" w:type="dxa"/>
            <w:vAlign w:val="center"/>
          </w:tcPr>
          <w:p w:rsidR="005D05B4" w:rsidRDefault="00D606E5" w:rsidP="00F21D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12,1 раза</w:t>
            </w:r>
          </w:p>
        </w:tc>
      </w:tr>
      <w:tr w:rsidR="005D05B4" w:rsidRPr="00CA58EE" w:rsidTr="007C528C">
        <w:tc>
          <w:tcPr>
            <w:tcW w:w="4678" w:type="dxa"/>
            <w:vAlign w:val="center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5D05B4" w:rsidRPr="00CA58EE" w:rsidRDefault="00D606E5" w:rsidP="00F21D4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30756,2</w:t>
            </w:r>
          </w:p>
        </w:tc>
        <w:tc>
          <w:tcPr>
            <w:tcW w:w="1134" w:type="dxa"/>
            <w:vAlign w:val="center"/>
          </w:tcPr>
          <w:p w:rsidR="005D05B4" w:rsidRPr="00CA58EE" w:rsidRDefault="00D606E5" w:rsidP="00F21D4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34289,9</w:t>
            </w:r>
          </w:p>
        </w:tc>
        <w:tc>
          <w:tcPr>
            <w:tcW w:w="1275" w:type="dxa"/>
            <w:vAlign w:val="center"/>
          </w:tcPr>
          <w:p w:rsidR="005D05B4" w:rsidRPr="005D05B4" w:rsidRDefault="00D606E5" w:rsidP="00F21D49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+3533,7</w:t>
            </w:r>
          </w:p>
        </w:tc>
        <w:tc>
          <w:tcPr>
            <w:tcW w:w="1310" w:type="dxa"/>
            <w:vAlign w:val="center"/>
          </w:tcPr>
          <w:p w:rsidR="005D05B4" w:rsidRPr="005D05B4" w:rsidRDefault="00D606E5" w:rsidP="00F21D49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111,5</w:t>
            </w:r>
          </w:p>
        </w:tc>
      </w:tr>
    </w:tbl>
    <w:p w:rsidR="00CA58EE" w:rsidRDefault="00CA58EE" w:rsidP="00F66B94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</w:p>
    <w:p w:rsidR="00143E35" w:rsidRDefault="00F66B94" w:rsidP="00F66B94">
      <w:pPr>
        <w:ind w:firstLine="709"/>
        <w:jc w:val="both"/>
      </w:pPr>
      <w:r w:rsidRPr="00476BD1">
        <w:t xml:space="preserve">Наибольшая </w:t>
      </w:r>
      <w:r w:rsidR="005D05B4">
        <w:t xml:space="preserve">сумма </w:t>
      </w:r>
      <w:r w:rsidRPr="00476BD1">
        <w:t>задолженност</w:t>
      </w:r>
      <w:r w:rsidR="005D05B4">
        <w:t>и</w:t>
      </w:r>
      <w:r w:rsidRPr="00476BD1">
        <w:t xml:space="preserve"> перед  местным бюджетом </w:t>
      </w:r>
      <w:r w:rsidR="005D05B4">
        <w:t xml:space="preserve"> числится </w:t>
      </w:r>
      <w:r w:rsidRPr="00476BD1">
        <w:t xml:space="preserve">по </w:t>
      </w:r>
      <w:r w:rsidR="005D05B4">
        <w:t>договорам н</w:t>
      </w:r>
      <w:r w:rsidRPr="00476BD1">
        <w:t xml:space="preserve">а </w:t>
      </w:r>
      <w:r w:rsidRPr="00476BD1">
        <w:rPr>
          <w:rFonts w:eastAsiaTheme="minorHAnsi"/>
          <w:lang w:eastAsia="en-US"/>
        </w:rPr>
        <w:t>аренду земельных участков</w:t>
      </w:r>
      <w:r w:rsidR="009E5D13">
        <w:rPr>
          <w:rFonts w:eastAsiaTheme="minorHAnsi"/>
          <w:lang w:eastAsia="en-US"/>
        </w:rPr>
        <w:t xml:space="preserve"> </w:t>
      </w:r>
      <w:r w:rsidR="00143E35">
        <w:rPr>
          <w:rFonts w:eastAsiaTheme="minorHAnsi"/>
          <w:lang w:eastAsia="en-US"/>
        </w:rPr>
        <w:t>в сумме</w:t>
      </w:r>
      <w:r w:rsidR="009E5D13">
        <w:rPr>
          <w:rFonts w:eastAsiaTheme="minorHAnsi"/>
          <w:lang w:eastAsia="en-US"/>
        </w:rPr>
        <w:t xml:space="preserve"> </w:t>
      </w:r>
      <w:r w:rsidR="009E5D13" w:rsidRPr="00070D4B">
        <w:rPr>
          <w:rFonts w:eastAsiaTheme="minorHAnsi"/>
          <w:b/>
          <w:lang w:eastAsia="en-US"/>
        </w:rPr>
        <w:t>25037,8</w:t>
      </w:r>
      <w:r w:rsidRPr="00476BD1">
        <w:t xml:space="preserve"> тыс. руб.</w:t>
      </w:r>
      <w:r w:rsidR="005D05B4">
        <w:t>,</w:t>
      </w:r>
      <w:r w:rsidRPr="00476BD1">
        <w:t xml:space="preserve"> </w:t>
      </w:r>
      <w:r w:rsidR="00C231AB">
        <w:t>за 1 квартал 20</w:t>
      </w:r>
      <w:r w:rsidR="009E5D13">
        <w:t>20</w:t>
      </w:r>
      <w:r w:rsidR="00C231AB">
        <w:t xml:space="preserve"> года </w:t>
      </w:r>
      <w:r w:rsidR="009E5D13">
        <w:t xml:space="preserve">увеличилась </w:t>
      </w:r>
      <w:r w:rsidR="00C231AB">
        <w:t xml:space="preserve">на </w:t>
      </w:r>
      <w:r w:rsidR="009E5D13">
        <w:t>2820,9</w:t>
      </w:r>
      <w:r w:rsidR="005D05B4">
        <w:t xml:space="preserve"> тыс.</w:t>
      </w:r>
      <w:r w:rsidR="009E5D13">
        <w:t xml:space="preserve"> </w:t>
      </w:r>
      <w:r w:rsidR="005D05B4">
        <w:t xml:space="preserve">руб. или </w:t>
      </w:r>
      <w:r w:rsidR="009E5D13">
        <w:t>12,7</w:t>
      </w:r>
      <w:r w:rsidR="005D05B4">
        <w:t>%</w:t>
      </w:r>
      <w:r w:rsidRPr="00476BD1">
        <w:t>.</w:t>
      </w:r>
      <w:r w:rsidR="00143E35">
        <w:t xml:space="preserve"> </w:t>
      </w:r>
    </w:p>
    <w:p w:rsidR="007C528C" w:rsidRDefault="00143E35" w:rsidP="007C528C">
      <w:pPr>
        <w:ind w:firstLine="709"/>
        <w:jc w:val="both"/>
      </w:pPr>
      <w:r>
        <w:t xml:space="preserve">Кроме того, увеличение за 1 квартал 2020 произошло по доходам от сдачи </w:t>
      </w:r>
      <w:r w:rsidR="007C528C">
        <w:t xml:space="preserve">в аренду </w:t>
      </w:r>
      <w:r>
        <w:t>имущества – на 18,6% или на 362,3 тыс. руб., по доходам от платы по договорам на установку рекламной конструкции – на 320,5 тыс. руб.</w:t>
      </w:r>
    </w:p>
    <w:p w:rsidR="007C528C" w:rsidRDefault="007C528C" w:rsidP="007C528C">
      <w:pPr>
        <w:ind w:firstLine="709"/>
        <w:jc w:val="both"/>
        <w:rPr>
          <w:b/>
        </w:rPr>
      </w:pPr>
    </w:p>
    <w:p w:rsidR="00C66ADC" w:rsidRDefault="00E97E12" w:rsidP="00176D10">
      <w:pPr>
        <w:pStyle w:val="a3"/>
        <w:ind w:left="1008"/>
        <w:rPr>
          <w:b/>
        </w:rPr>
      </w:pPr>
      <w:r>
        <w:rPr>
          <w:b/>
        </w:rPr>
        <w:t xml:space="preserve"> </w:t>
      </w:r>
      <w:r w:rsidR="00176D10">
        <w:rPr>
          <w:b/>
        </w:rPr>
        <w:t xml:space="preserve">          </w:t>
      </w:r>
      <w:r>
        <w:rPr>
          <w:b/>
        </w:rPr>
        <w:t xml:space="preserve">  </w:t>
      </w:r>
      <w:r w:rsidR="00176D10">
        <w:rPr>
          <w:b/>
        </w:rPr>
        <w:t xml:space="preserve">3. </w:t>
      </w:r>
      <w:r w:rsidR="00E2319F">
        <w:rPr>
          <w:b/>
        </w:rPr>
        <w:t>И</w:t>
      </w:r>
      <w:r w:rsidR="00E2319F" w:rsidRPr="006433DC">
        <w:rPr>
          <w:b/>
        </w:rPr>
        <w:t>сполнени</w:t>
      </w:r>
      <w:r w:rsidR="00E2319F">
        <w:rPr>
          <w:b/>
        </w:rPr>
        <w:t>е</w:t>
      </w:r>
      <w:r w:rsidR="00E2319F" w:rsidRPr="00D21319">
        <w:rPr>
          <w:b/>
        </w:rPr>
        <w:t xml:space="preserve"> </w:t>
      </w:r>
      <w:r w:rsidR="00D21319" w:rsidRPr="00D21319">
        <w:rPr>
          <w:b/>
        </w:rPr>
        <w:t>расходов</w:t>
      </w:r>
      <w:r w:rsidR="00E2319F">
        <w:rPr>
          <w:b/>
        </w:rPr>
        <w:t xml:space="preserve"> </w:t>
      </w:r>
      <w:r w:rsidR="00D21319" w:rsidRPr="00D21319">
        <w:rPr>
          <w:b/>
        </w:rPr>
        <w:t>бюджета</w:t>
      </w:r>
    </w:p>
    <w:p w:rsidR="00D51E4F" w:rsidRPr="0086031F" w:rsidRDefault="00D51E4F" w:rsidP="00176D10">
      <w:pPr>
        <w:pStyle w:val="a3"/>
        <w:ind w:left="1008"/>
        <w:rPr>
          <w:b/>
          <w:bCs/>
          <w:color w:val="000000"/>
        </w:rPr>
      </w:pPr>
    </w:p>
    <w:p w:rsidR="005836FD" w:rsidRPr="007C781D" w:rsidRDefault="00E667D9" w:rsidP="007C781D">
      <w:pPr>
        <w:autoSpaceDE w:val="0"/>
        <w:autoSpaceDN w:val="0"/>
        <w:adjustRightInd w:val="0"/>
        <w:ind w:firstLine="708"/>
        <w:jc w:val="both"/>
      </w:pPr>
      <w:r w:rsidRPr="007C781D">
        <w:t>Р</w:t>
      </w:r>
      <w:r w:rsidR="00D21319" w:rsidRPr="007C781D">
        <w:t>асход</w:t>
      </w:r>
      <w:r w:rsidRPr="007C781D">
        <w:t xml:space="preserve">ы </w:t>
      </w:r>
      <w:r w:rsidR="00D21319" w:rsidRPr="007C781D">
        <w:t>бюджета Лесозаводского гор</w:t>
      </w:r>
      <w:r w:rsidR="004D7077" w:rsidRPr="007C781D">
        <w:t>одского округа за 1 квартал 20</w:t>
      </w:r>
      <w:r w:rsidR="009E5D13" w:rsidRPr="007C781D">
        <w:t>20</w:t>
      </w:r>
      <w:r w:rsidR="00D21319" w:rsidRPr="007C781D">
        <w:t xml:space="preserve"> года </w:t>
      </w:r>
      <w:r w:rsidR="005836FD" w:rsidRPr="007C781D">
        <w:t xml:space="preserve">исполнены в сумме </w:t>
      </w:r>
      <w:r w:rsidR="008442A1" w:rsidRPr="00D201D2">
        <w:rPr>
          <w:b/>
        </w:rPr>
        <w:t>2</w:t>
      </w:r>
      <w:r w:rsidR="009E5D13" w:rsidRPr="00D201D2">
        <w:rPr>
          <w:b/>
        </w:rPr>
        <w:t>71005,5</w:t>
      </w:r>
      <w:r w:rsidR="008442A1" w:rsidRPr="007C781D">
        <w:t xml:space="preserve"> </w:t>
      </w:r>
      <w:r w:rsidR="00D21319" w:rsidRPr="007C781D">
        <w:t xml:space="preserve">тыс. руб. или </w:t>
      </w:r>
      <w:r w:rsidR="008442A1" w:rsidRPr="00D201D2">
        <w:rPr>
          <w:b/>
        </w:rPr>
        <w:t>2</w:t>
      </w:r>
      <w:r w:rsidR="009E5D13" w:rsidRPr="00D201D2">
        <w:rPr>
          <w:b/>
        </w:rPr>
        <w:t>1,7</w:t>
      </w:r>
      <w:r w:rsidR="00D21319" w:rsidRPr="00D201D2">
        <w:rPr>
          <w:b/>
        </w:rPr>
        <w:t>%</w:t>
      </w:r>
      <w:r w:rsidR="00D21319" w:rsidRPr="007C781D">
        <w:t xml:space="preserve"> от уточненного плана (</w:t>
      </w:r>
      <w:r w:rsidR="009E5D13" w:rsidRPr="007C781D">
        <w:t>124660</w:t>
      </w:r>
      <w:r w:rsidR="00FE1B69">
        <w:t>4</w:t>
      </w:r>
      <w:r w:rsidR="00D21319" w:rsidRPr="007C781D">
        <w:t xml:space="preserve"> тыс.</w:t>
      </w:r>
      <w:r w:rsidR="00FE1B69">
        <w:t xml:space="preserve"> </w:t>
      </w:r>
      <w:r w:rsidR="00D21319" w:rsidRPr="007C781D">
        <w:t>руб.)</w:t>
      </w:r>
      <w:r w:rsidR="008442A1" w:rsidRPr="007C781D">
        <w:t xml:space="preserve">. </w:t>
      </w:r>
      <w:r w:rsidR="00FE1B69">
        <w:t>В сравнение</w:t>
      </w:r>
      <w:r w:rsidR="005836FD" w:rsidRPr="007C781D">
        <w:rPr>
          <w:rFonts w:eastAsia="Calibri"/>
          <w:lang w:eastAsia="en-US"/>
        </w:rPr>
        <w:t xml:space="preserve"> с 1 кварталом 201</w:t>
      </w:r>
      <w:r w:rsidR="009E5D13" w:rsidRPr="007C781D">
        <w:rPr>
          <w:rFonts w:eastAsia="Calibri"/>
          <w:lang w:eastAsia="en-US"/>
        </w:rPr>
        <w:t>9</w:t>
      </w:r>
      <w:r w:rsidR="005836FD" w:rsidRPr="007C781D">
        <w:rPr>
          <w:rFonts w:eastAsia="Calibri"/>
          <w:lang w:eastAsia="en-US"/>
        </w:rPr>
        <w:t xml:space="preserve"> года расходы за отчетный период </w:t>
      </w:r>
      <w:r w:rsidR="009E5D13" w:rsidRPr="007C781D">
        <w:rPr>
          <w:rFonts w:eastAsia="Calibri"/>
          <w:lang w:eastAsia="en-US"/>
        </w:rPr>
        <w:t>возросли</w:t>
      </w:r>
      <w:r w:rsidR="005836FD" w:rsidRPr="007C781D">
        <w:rPr>
          <w:rFonts w:eastAsia="Calibri"/>
          <w:lang w:eastAsia="en-US"/>
        </w:rPr>
        <w:t xml:space="preserve"> на </w:t>
      </w:r>
      <w:r w:rsidR="003A4E4A" w:rsidRPr="00D201D2">
        <w:rPr>
          <w:rFonts w:eastAsia="Calibri"/>
          <w:b/>
          <w:lang w:eastAsia="en-US"/>
        </w:rPr>
        <w:t>50260,5</w:t>
      </w:r>
      <w:r w:rsidR="005836FD" w:rsidRPr="007C781D">
        <w:rPr>
          <w:rFonts w:eastAsiaTheme="minorHAnsi"/>
          <w:lang w:eastAsia="en-US"/>
        </w:rPr>
        <w:t xml:space="preserve"> тыс.</w:t>
      </w:r>
      <w:r w:rsidR="003A4E4A" w:rsidRPr="007C781D">
        <w:rPr>
          <w:rFonts w:eastAsiaTheme="minorHAnsi"/>
          <w:lang w:eastAsia="en-US"/>
        </w:rPr>
        <w:t xml:space="preserve"> </w:t>
      </w:r>
      <w:r w:rsidR="005836FD" w:rsidRPr="007C781D">
        <w:rPr>
          <w:rFonts w:eastAsiaTheme="minorHAnsi"/>
          <w:lang w:eastAsia="en-US"/>
        </w:rPr>
        <w:t xml:space="preserve">руб. </w:t>
      </w:r>
      <w:r w:rsidR="005836FD" w:rsidRPr="007C781D">
        <w:t xml:space="preserve">или </w:t>
      </w:r>
      <w:r w:rsidR="005836FD" w:rsidRPr="00D201D2">
        <w:rPr>
          <w:b/>
        </w:rPr>
        <w:t xml:space="preserve">на </w:t>
      </w:r>
      <w:r w:rsidR="008442A1" w:rsidRPr="00D201D2">
        <w:rPr>
          <w:b/>
          <w:color w:val="000000"/>
        </w:rPr>
        <w:t>2</w:t>
      </w:r>
      <w:r w:rsidR="003A4E4A" w:rsidRPr="00D201D2">
        <w:rPr>
          <w:b/>
          <w:color w:val="000000"/>
        </w:rPr>
        <w:t>2</w:t>
      </w:r>
      <w:r w:rsidR="008442A1" w:rsidRPr="00D201D2">
        <w:rPr>
          <w:b/>
          <w:color w:val="000000"/>
        </w:rPr>
        <w:t>,</w:t>
      </w:r>
      <w:r w:rsidR="003A4E4A" w:rsidRPr="00D201D2">
        <w:rPr>
          <w:b/>
          <w:color w:val="000000"/>
        </w:rPr>
        <w:t>8</w:t>
      </w:r>
      <w:r w:rsidR="005836FD" w:rsidRPr="00D201D2">
        <w:rPr>
          <w:b/>
          <w:color w:val="000000"/>
        </w:rPr>
        <w:t>%</w:t>
      </w:r>
      <w:r w:rsidR="005836FD" w:rsidRPr="00D201D2">
        <w:rPr>
          <w:b/>
        </w:rPr>
        <w:t>.</w:t>
      </w:r>
    </w:p>
    <w:p w:rsidR="00A61FBC" w:rsidRPr="007C781D" w:rsidRDefault="00A61FBC" w:rsidP="00A61FBC">
      <w:pPr>
        <w:ind w:firstLine="709"/>
        <w:jc w:val="both"/>
        <w:rPr>
          <w:rFonts w:eastAsia="SimSun"/>
          <w:lang w:eastAsia="zh-CN"/>
        </w:rPr>
      </w:pPr>
      <w:r w:rsidRPr="007C781D">
        <w:rPr>
          <w:rFonts w:eastAsia="SimSun"/>
          <w:lang w:eastAsia="zh-CN"/>
        </w:rPr>
        <w:t>Ведомственной структурой расходов бюджета</w:t>
      </w:r>
      <w:r w:rsidRPr="007C781D">
        <w:t xml:space="preserve"> Лесозаводского городского округа</w:t>
      </w:r>
      <w:r w:rsidRPr="007C781D">
        <w:rPr>
          <w:rFonts w:eastAsia="SimSun"/>
          <w:lang w:eastAsia="zh-CN"/>
        </w:rPr>
        <w:t xml:space="preserve"> </w:t>
      </w:r>
      <w:r w:rsidR="003A4E4A" w:rsidRPr="007C781D">
        <w:rPr>
          <w:rFonts w:eastAsia="SimSun"/>
          <w:lang w:eastAsia="zh-CN"/>
        </w:rPr>
        <w:t xml:space="preserve">на 2020 год предусмотрено финансирование </w:t>
      </w:r>
      <w:r w:rsidRPr="007C781D">
        <w:rPr>
          <w:rFonts w:eastAsia="SimSun"/>
          <w:lang w:eastAsia="zh-CN"/>
        </w:rPr>
        <w:t xml:space="preserve">8 </w:t>
      </w:r>
      <w:r w:rsidR="003A4E4A" w:rsidRPr="007C781D">
        <w:rPr>
          <w:rFonts w:eastAsia="SimSun"/>
          <w:lang w:eastAsia="zh-CN"/>
        </w:rPr>
        <w:t>главных распорядителей бюджетных средств (</w:t>
      </w:r>
      <w:r w:rsidRPr="007C781D">
        <w:rPr>
          <w:rFonts w:eastAsia="SimSun"/>
          <w:lang w:eastAsia="zh-CN"/>
        </w:rPr>
        <w:t>ГРБС</w:t>
      </w:r>
      <w:r w:rsidR="003A4E4A" w:rsidRPr="007C781D">
        <w:rPr>
          <w:rFonts w:eastAsia="SimSun"/>
          <w:lang w:eastAsia="zh-CN"/>
        </w:rPr>
        <w:t>)</w:t>
      </w:r>
      <w:r w:rsidRPr="007C781D">
        <w:rPr>
          <w:rFonts w:eastAsia="SimSun"/>
          <w:lang w:eastAsia="zh-CN"/>
        </w:rPr>
        <w:t>.</w:t>
      </w:r>
    </w:p>
    <w:p w:rsidR="00F906AA" w:rsidRPr="0073413D" w:rsidRDefault="00F906AA" w:rsidP="00F906A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413D">
        <w:rPr>
          <w:rFonts w:eastAsiaTheme="minorHAnsi"/>
          <w:lang w:eastAsia="en-US"/>
        </w:rPr>
        <w:t xml:space="preserve">Анализ исполнения бюджета городского округа по ведомственной структуре расходов за </w:t>
      </w:r>
      <w:r w:rsidRPr="0073413D">
        <w:t>1 квартал 20</w:t>
      </w:r>
      <w:r w:rsidR="00C97049" w:rsidRPr="0073413D">
        <w:t>20</w:t>
      </w:r>
      <w:r w:rsidR="00D201D2">
        <w:rPr>
          <w:rFonts w:eastAsiaTheme="minorHAnsi"/>
          <w:lang w:eastAsia="en-US"/>
        </w:rPr>
        <w:t xml:space="preserve"> года представлен в таблице.</w:t>
      </w:r>
    </w:p>
    <w:p w:rsidR="00F906AA" w:rsidRDefault="000B12FF" w:rsidP="000B12FF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(тыс. руб.)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3"/>
        <w:gridCol w:w="709"/>
        <w:gridCol w:w="709"/>
        <w:gridCol w:w="991"/>
        <w:gridCol w:w="992"/>
        <w:gridCol w:w="709"/>
      </w:tblGrid>
      <w:tr w:rsidR="00E31F70" w:rsidRPr="004A0585" w:rsidTr="00731EF0">
        <w:trPr>
          <w:trHeight w:val="179"/>
        </w:trPr>
        <w:tc>
          <w:tcPr>
            <w:tcW w:w="3544" w:type="dxa"/>
            <w:vMerge w:val="restart"/>
          </w:tcPr>
          <w:p w:rsidR="00E31F70" w:rsidRDefault="00E31F70" w:rsidP="00F906AA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E31F70" w:rsidRPr="004A0585" w:rsidRDefault="00E31F70" w:rsidP="002235E4">
            <w:pPr>
              <w:spacing w:line="276" w:lineRule="auto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1134" w:type="dxa"/>
            <w:vMerge w:val="restart"/>
          </w:tcPr>
          <w:p w:rsidR="00E31F70" w:rsidRDefault="00E31F70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Ут</w:t>
            </w:r>
            <w:r>
              <w:rPr>
                <w:b/>
                <w:sz w:val="18"/>
                <w:szCs w:val="18"/>
              </w:rPr>
              <w:t>очненный план</w:t>
            </w:r>
          </w:p>
          <w:p w:rsidR="00E31F70" w:rsidRPr="004A0585" w:rsidRDefault="00E31F70" w:rsidP="000B12F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 </w:t>
            </w:r>
            <w:r w:rsidRPr="004A058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 год</w:t>
            </w:r>
          </w:p>
        </w:tc>
        <w:tc>
          <w:tcPr>
            <w:tcW w:w="2411" w:type="dxa"/>
            <w:gridSpan w:val="3"/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Исполнено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  <w:r w:rsidRPr="004A058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</w:t>
            </w:r>
            <w:r w:rsidRPr="004A0585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E31F70" w:rsidRDefault="00E31F70" w:rsidP="00BF3F0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Исполнение за 1 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  <w:r>
              <w:rPr>
                <w:b/>
                <w:sz w:val="18"/>
                <w:szCs w:val="18"/>
              </w:rPr>
              <w:t xml:space="preserve"> 2019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31F70" w:rsidRPr="00E31F70" w:rsidRDefault="00E31F70" w:rsidP="00BF3F0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E31F70">
              <w:rPr>
                <w:b/>
                <w:sz w:val="18"/>
                <w:szCs w:val="18"/>
              </w:rPr>
              <w:t>Темп роста</w:t>
            </w:r>
          </w:p>
        </w:tc>
      </w:tr>
      <w:tr w:rsidR="00E31F70" w:rsidRPr="004A0585" w:rsidTr="00731EF0">
        <w:trPr>
          <w:trHeight w:val="343"/>
        </w:trPr>
        <w:tc>
          <w:tcPr>
            <w:tcW w:w="3544" w:type="dxa"/>
            <w:vMerge/>
          </w:tcPr>
          <w:p w:rsidR="00E31F70" w:rsidRPr="004A0585" w:rsidRDefault="00E31F70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1F70" w:rsidRPr="004A0585" w:rsidRDefault="00E31F70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1F70" w:rsidRPr="004A0585" w:rsidRDefault="00E31F70" w:rsidP="000B12F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  <w:r w:rsidRPr="004A058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31F70" w:rsidRPr="004A0585" w:rsidRDefault="00E31F70" w:rsidP="000B12FF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b/>
                <w:sz w:val="18"/>
                <w:szCs w:val="18"/>
              </w:rPr>
              <w:t>исполн</w:t>
            </w:r>
            <w:proofErr w:type="spellEnd"/>
          </w:p>
        </w:tc>
        <w:tc>
          <w:tcPr>
            <w:tcW w:w="709" w:type="dxa"/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0B12FF">
              <w:rPr>
                <w:b/>
                <w:sz w:val="18"/>
                <w:szCs w:val="18"/>
              </w:rPr>
              <w:t>Доля,%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1F70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E31F70">
            <w:pPr>
              <w:rPr>
                <w:sz w:val="20"/>
                <w:szCs w:val="20"/>
              </w:rPr>
            </w:pPr>
            <w:r w:rsidRPr="000F3EEF">
              <w:rPr>
                <w:b/>
                <w:sz w:val="20"/>
                <w:szCs w:val="20"/>
              </w:rPr>
              <w:t>РАСХОД</w:t>
            </w:r>
            <w:r w:rsidRPr="00314EB3">
              <w:rPr>
                <w:b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Pr="000F3EE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vAlign w:val="bottom"/>
          </w:tcPr>
          <w:p w:rsidR="00E31F70" w:rsidRDefault="00E31F70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1246604</w:t>
            </w:r>
          </w:p>
        </w:tc>
        <w:tc>
          <w:tcPr>
            <w:tcW w:w="993" w:type="dxa"/>
            <w:vAlign w:val="bottom"/>
          </w:tcPr>
          <w:p w:rsidR="00E31F70" w:rsidRDefault="00E31F70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271005,5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  <w:vAlign w:val="bottom"/>
          </w:tcPr>
          <w:p w:rsidR="00E31F70" w:rsidRDefault="00E31F70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220745,0</w:t>
            </w:r>
          </w:p>
        </w:tc>
        <w:tc>
          <w:tcPr>
            <w:tcW w:w="992" w:type="dxa"/>
            <w:vAlign w:val="bottom"/>
          </w:tcPr>
          <w:p w:rsidR="00E31F70" w:rsidRDefault="00E31F70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+50260,5</w:t>
            </w:r>
          </w:p>
        </w:tc>
        <w:tc>
          <w:tcPr>
            <w:tcW w:w="709" w:type="dxa"/>
            <w:vAlign w:val="bottom"/>
          </w:tcPr>
          <w:p w:rsidR="00E31F70" w:rsidRDefault="003A4E4A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122,8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F906AA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727563,8</w:t>
            </w:r>
          </w:p>
        </w:tc>
        <w:tc>
          <w:tcPr>
            <w:tcW w:w="993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183714,5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91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167684,8</w:t>
            </w:r>
          </w:p>
        </w:tc>
        <w:tc>
          <w:tcPr>
            <w:tcW w:w="992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+16029,7</w:t>
            </w:r>
          </w:p>
        </w:tc>
        <w:tc>
          <w:tcPr>
            <w:tcW w:w="709" w:type="dxa"/>
            <w:vAlign w:val="bottom"/>
          </w:tcPr>
          <w:p w:rsidR="00E31F70" w:rsidRDefault="003A4E4A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109,6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0F3EEF" w:rsidRDefault="00E31F70" w:rsidP="00F906AA">
            <w:pPr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lastRenderedPageBreak/>
              <w:t>Администрация Лесозаводского городского округа</w:t>
            </w:r>
          </w:p>
        </w:tc>
        <w:tc>
          <w:tcPr>
            <w:tcW w:w="1134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341380,8</w:t>
            </w:r>
          </w:p>
        </w:tc>
        <w:tc>
          <w:tcPr>
            <w:tcW w:w="993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44759,8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1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18028,2</w:t>
            </w:r>
          </w:p>
        </w:tc>
        <w:tc>
          <w:tcPr>
            <w:tcW w:w="992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+26730,6</w:t>
            </w:r>
          </w:p>
        </w:tc>
        <w:tc>
          <w:tcPr>
            <w:tcW w:w="709" w:type="dxa"/>
            <w:vAlign w:val="bottom"/>
          </w:tcPr>
          <w:p w:rsidR="00E31F70" w:rsidRDefault="00890F83" w:rsidP="003A4E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E31F70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>и спорта ЛГО»</w:t>
            </w:r>
          </w:p>
        </w:tc>
        <w:tc>
          <w:tcPr>
            <w:tcW w:w="1134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103186,7</w:t>
            </w:r>
          </w:p>
        </w:tc>
        <w:tc>
          <w:tcPr>
            <w:tcW w:w="993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28210,6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27,3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91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21750,3</w:t>
            </w:r>
          </w:p>
        </w:tc>
        <w:tc>
          <w:tcPr>
            <w:tcW w:w="992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+6460,3</w:t>
            </w:r>
          </w:p>
        </w:tc>
        <w:tc>
          <w:tcPr>
            <w:tcW w:w="709" w:type="dxa"/>
            <w:vAlign w:val="bottom"/>
          </w:tcPr>
          <w:p w:rsidR="00E31F70" w:rsidRDefault="003A4E4A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129,7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9B08FE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134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28783,0</w:t>
            </w:r>
          </w:p>
        </w:tc>
        <w:tc>
          <w:tcPr>
            <w:tcW w:w="993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6664,9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1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4940,0</w:t>
            </w:r>
          </w:p>
        </w:tc>
        <w:tc>
          <w:tcPr>
            <w:tcW w:w="992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+1724,9</w:t>
            </w:r>
          </w:p>
        </w:tc>
        <w:tc>
          <w:tcPr>
            <w:tcW w:w="709" w:type="dxa"/>
            <w:vAlign w:val="bottom"/>
          </w:tcPr>
          <w:p w:rsidR="00E31F70" w:rsidRDefault="003A4E4A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134,9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9B08FE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134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18038,0</w:t>
            </w:r>
          </w:p>
        </w:tc>
        <w:tc>
          <w:tcPr>
            <w:tcW w:w="993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3357,6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1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3995,0</w:t>
            </w:r>
          </w:p>
        </w:tc>
        <w:tc>
          <w:tcPr>
            <w:tcW w:w="992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-637,4</w:t>
            </w:r>
          </w:p>
        </w:tc>
        <w:tc>
          <w:tcPr>
            <w:tcW w:w="709" w:type="dxa"/>
            <w:vAlign w:val="bottom"/>
          </w:tcPr>
          <w:p w:rsidR="00E31F70" w:rsidRDefault="003A4E4A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F906AA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134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18396,6</w:t>
            </w:r>
          </w:p>
        </w:tc>
        <w:tc>
          <w:tcPr>
            <w:tcW w:w="993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2454,1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1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2733,8</w:t>
            </w:r>
          </w:p>
        </w:tc>
        <w:tc>
          <w:tcPr>
            <w:tcW w:w="992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-278,9</w:t>
            </w:r>
          </w:p>
        </w:tc>
        <w:tc>
          <w:tcPr>
            <w:tcW w:w="709" w:type="dxa"/>
            <w:vAlign w:val="bottom"/>
          </w:tcPr>
          <w:p w:rsidR="00E31F70" w:rsidRDefault="003A4E4A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E31F70" w:rsidRPr="007F0C7E" w:rsidTr="00731EF0">
        <w:trPr>
          <w:trHeight w:val="374"/>
        </w:trPr>
        <w:tc>
          <w:tcPr>
            <w:tcW w:w="3544" w:type="dxa"/>
            <w:vAlign w:val="center"/>
          </w:tcPr>
          <w:p w:rsidR="00E31F70" w:rsidRPr="007F0C7E" w:rsidRDefault="00E31F70" w:rsidP="00467749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134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6720,0</w:t>
            </w:r>
          </w:p>
        </w:tc>
        <w:tc>
          <w:tcPr>
            <w:tcW w:w="993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1263,4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1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1124,4</w:t>
            </w:r>
          </w:p>
        </w:tc>
        <w:tc>
          <w:tcPr>
            <w:tcW w:w="992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+139,0</w:t>
            </w:r>
          </w:p>
        </w:tc>
        <w:tc>
          <w:tcPr>
            <w:tcW w:w="709" w:type="dxa"/>
            <w:vAlign w:val="bottom"/>
          </w:tcPr>
          <w:p w:rsidR="00E31F70" w:rsidRDefault="003A4E4A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112,4</w:t>
            </w:r>
          </w:p>
        </w:tc>
      </w:tr>
      <w:tr w:rsidR="00E31F70" w:rsidRPr="007F0C7E" w:rsidTr="00731EF0">
        <w:trPr>
          <w:trHeight w:val="377"/>
        </w:trPr>
        <w:tc>
          <w:tcPr>
            <w:tcW w:w="3544" w:type="dxa"/>
            <w:vAlign w:val="center"/>
          </w:tcPr>
          <w:p w:rsidR="00E31F70" w:rsidRPr="007F0C7E" w:rsidRDefault="00E31F70" w:rsidP="00467749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1134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2535,0</w:t>
            </w:r>
          </w:p>
        </w:tc>
        <w:tc>
          <w:tcPr>
            <w:tcW w:w="993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580,6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709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1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488,6</w:t>
            </w:r>
          </w:p>
        </w:tc>
        <w:tc>
          <w:tcPr>
            <w:tcW w:w="992" w:type="dxa"/>
            <w:vAlign w:val="bottom"/>
          </w:tcPr>
          <w:p w:rsidR="00E31F70" w:rsidRDefault="00E31F70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+92,0</w:t>
            </w:r>
          </w:p>
        </w:tc>
        <w:tc>
          <w:tcPr>
            <w:tcW w:w="709" w:type="dxa"/>
            <w:vAlign w:val="bottom"/>
          </w:tcPr>
          <w:p w:rsidR="00E31F70" w:rsidRDefault="003A4E4A" w:rsidP="003A4E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</w:t>
            </w:r>
          </w:p>
        </w:tc>
      </w:tr>
    </w:tbl>
    <w:p w:rsidR="00F906AA" w:rsidRPr="00731EF0" w:rsidRDefault="00F906AA" w:rsidP="00F906AA">
      <w:pPr>
        <w:autoSpaceDE w:val="0"/>
        <w:autoSpaceDN w:val="0"/>
        <w:adjustRightInd w:val="0"/>
        <w:ind w:firstLine="708"/>
        <w:rPr>
          <w:rFonts w:eastAsiaTheme="minorHAnsi"/>
          <w:sz w:val="16"/>
          <w:szCs w:val="16"/>
          <w:lang w:eastAsia="en-US"/>
        </w:rPr>
      </w:pPr>
    </w:p>
    <w:p w:rsidR="00F21D49" w:rsidRDefault="005D1B09" w:rsidP="001A68B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Самый низкий процент исполнения </w:t>
      </w:r>
      <w:r w:rsidR="00FE1B69">
        <w:rPr>
          <w:rFonts w:eastAsia="Calibri"/>
          <w:lang w:eastAsia="en-US"/>
        </w:rPr>
        <w:t xml:space="preserve">по </w:t>
      </w:r>
      <w:r>
        <w:rPr>
          <w:rFonts w:eastAsia="Calibri"/>
          <w:lang w:eastAsia="en-US"/>
        </w:rPr>
        <w:t>ГРБС</w:t>
      </w:r>
      <w:r w:rsidR="00B84057" w:rsidRPr="00B84057">
        <w:rPr>
          <w:rFonts w:eastAsia="Calibri"/>
          <w:lang w:eastAsia="en-US"/>
        </w:rPr>
        <w:t>:</w:t>
      </w:r>
    </w:p>
    <w:p w:rsidR="001A68B9" w:rsidRPr="00B84057" w:rsidRDefault="00B84057" w:rsidP="00F21D49">
      <w:pPr>
        <w:autoSpaceDE w:val="0"/>
        <w:autoSpaceDN w:val="0"/>
        <w:adjustRightInd w:val="0"/>
        <w:jc w:val="both"/>
      </w:pPr>
      <w:r w:rsidRPr="00B84057">
        <w:rPr>
          <w:rFonts w:eastAsiaTheme="minorHAnsi"/>
          <w:lang w:eastAsia="en-US"/>
        </w:rPr>
        <w:t xml:space="preserve">- </w:t>
      </w:r>
      <w:r w:rsidR="001A68B9" w:rsidRPr="00B84057">
        <w:t>администраци</w:t>
      </w:r>
      <w:r w:rsidR="005D1B09">
        <w:t>я</w:t>
      </w:r>
      <w:r w:rsidR="001A68B9" w:rsidRPr="00B84057">
        <w:t xml:space="preserve"> Лесозаводского городского округа – </w:t>
      </w:r>
      <w:r w:rsidR="005D1B09" w:rsidRPr="0089567E">
        <w:rPr>
          <w:b/>
        </w:rPr>
        <w:t>13,1</w:t>
      </w:r>
      <w:r w:rsidR="001A68B9" w:rsidRPr="0089567E">
        <w:rPr>
          <w:b/>
        </w:rPr>
        <w:t>%</w:t>
      </w:r>
      <w:r w:rsidR="001A68B9" w:rsidRPr="00B84057">
        <w:t xml:space="preserve"> </w:t>
      </w:r>
      <w:r w:rsidR="005D1B09">
        <w:t>(44759,8</w:t>
      </w:r>
      <w:r w:rsidR="001A68B9" w:rsidRPr="00B84057">
        <w:t xml:space="preserve"> </w:t>
      </w:r>
      <w:proofErr w:type="spellStart"/>
      <w:r w:rsidR="001A68B9" w:rsidRPr="00B84057">
        <w:t>тыс</w:t>
      </w:r>
      <w:proofErr w:type="gramStart"/>
      <w:r w:rsidR="001A68B9" w:rsidRPr="00B84057">
        <w:t>.р</w:t>
      </w:r>
      <w:proofErr w:type="gramEnd"/>
      <w:r w:rsidR="001A68B9" w:rsidRPr="00B84057">
        <w:t>уб</w:t>
      </w:r>
      <w:proofErr w:type="spellEnd"/>
      <w:r w:rsidR="001A68B9" w:rsidRPr="00B84057">
        <w:t>.</w:t>
      </w:r>
      <w:r w:rsidR="005D1B09">
        <w:t>)</w:t>
      </w:r>
      <w:r w:rsidRPr="00B84057">
        <w:t>;</w:t>
      </w:r>
    </w:p>
    <w:p w:rsidR="00B84057" w:rsidRDefault="00B84057" w:rsidP="00B84057">
      <w:pPr>
        <w:autoSpaceDE w:val="0"/>
        <w:autoSpaceDN w:val="0"/>
        <w:adjustRightInd w:val="0"/>
        <w:jc w:val="both"/>
      </w:pPr>
      <w:r w:rsidRPr="00B84057">
        <w:t>- Управлени</w:t>
      </w:r>
      <w:r w:rsidR="00BF3F05">
        <w:t>е</w:t>
      </w:r>
      <w:r w:rsidRPr="00B84057">
        <w:t xml:space="preserve"> имущественных отношений – </w:t>
      </w:r>
      <w:r w:rsidRPr="0089567E">
        <w:rPr>
          <w:b/>
        </w:rPr>
        <w:t>1</w:t>
      </w:r>
      <w:r w:rsidR="005D1B09" w:rsidRPr="0089567E">
        <w:rPr>
          <w:b/>
        </w:rPr>
        <w:t>3</w:t>
      </w:r>
      <w:r w:rsidRPr="0089567E">
        <w:rPr>
          <w:b/>
        </w:rPr>
        <w:t>,</w:t>
      </w:r>
      <w:r w:rsidR="005D1B09" w:rsidRPr="0089567E">
        <w:rPr>
          <w:b/>
        </w:rPr>
        <w:t>3</w:t>
      </w:r>
      <w:r w:rsidRPr="0089567E">
        <w:rPr>
          <w:b/>
        </w:rPr>
        <w:t>%</w:t>
      </w:r>
      <w:r w:rsidRPr="00B84057">
        <w:t xml:space="preserve"> </w:t>
      </w:r>
      <w:r w:rsidR="005D1B09">
        <w:t>(2454,1</w:t>
      </w:r>
      <w:r w:rsidRPr="00B84057">
        <w:t xml:space="preserve"> </w:t>
      </w:r>
      <w:proofErr w:type="spellStart"/>
      <w:r w:rsidRPr="00B84057">
        <w:t>тыс</w:t>
      </w:r>
      <w:proofErr w:type="gramStart"/>
      <w:r w:rsidRPr="00B84057">
        <w:t>.р</w:t>
      </w:r>
      <w:proofErr w:type="gramEnd"/>
      <w:r w:rsidRPr="00B84057">
        <w:t>уб</w:t>
      </w:r>
      <w:proofErr w:type="spellEnd"/>
      <w:r w:rsidRPr="00B84057">
        <w:t>.</w:t>
      </w:r>
      <w:r w:rsidR="005D1B09">
        <w:t>)</w:t>
      </w:r>
      <w:r w:rsidRPr="00B84057">
        <w:t>;</w:t>
      </w:r>
    </w:p>
    <w:p w:rsidR="005D1B09" w:rsidRDefault="005D1B09" w:rsidP="005D1B09">
      <w:pPr>
        <w:autoSpaceDE w:val="0"/>
        <w:autoSpaceDN w:val="0"/>
        <w:adjustRightInd w:val="0"/>
        <w:ind w:firstLine="708"/>
        <w:jc w:val="both"/>
      </w:pPr>
      <w:r w:rsidRPr="005D1B09">
        <w:t>Основная доля исполненных расходов приходится на МКУ «Управление образования» -</w:t>
      </w:r>
      <w:r>
        <w:t>67,8</w:t>
      </w:r>
      <w:r w:rsidRPr="005D1B09">
        <w:t xml:space="preserve">%, </w:t>
      </w:r>
      <w:r w:rsidR="00712B95">
        <w:t>а</w:t>
      </w:r>
      <w:r w:rsidR="00712B95" w:rsidRPr="00712B95">
        <w:t>дминистраци</w:t>
      </w:r>
      <w:r w:rsidR="00712B95">
        <w:t>ю</w:t>
      </w:r>
      <w:r w:rsidR="00712B95" w:rsidRPr="00712B95">
        <w:t xml:space="preserve"> Лесозав</w:t>
      </w:r>
      <w:r w:rsidR="00712B95">
        <w:t xml:space="preserve">одского городского округа- 16,5%, </w:t>
      </w:r>
      <w:r w:rsidRPr="005D1B09">
        <w:t xml:space="preserve">МКУ «Управление культуры, молодежной политики  и спорта ЛГО» - </w:t>
      </w:r>
      <w:r w:rsidR="00712B95">
        <w:t>10,4</w:t>
      </w:r>
      <w:r w:rsidRPr="005D1B09">
        <w:t>%</w:t>
      </w:r>
      <w:r w:rsidR="00712B95">
        <w:t>.</w:t>
      </w:r>
    </w:p>
    <w:p w:rsidR="00B835F7" w:rsidRDefault="00712B95" w:rsidP="005D1B09">
      <w:pPr>
        <w:autoSpaceDE w:val="0"/>
        <w:autoSpaceDN w:val="0"/>
        <w:adjustRightInd w:val="0"/>
        <w:ind w:firstLine="708"/>
        <w:jc w:val="both"/>
      </w:pPr>
      <w:r>
        <w:t xml:space="preserve">В сравнении с 1 кварталом 2019 года </w:t>
      </w:r>
      <w:r w:rsidR="00184046">
        <w:t xml:space="preserve">значительно </w:t>
      </w:r>
      <w:r w:rsidR="00B835F7">
        <w:t xml:space="preserve">возросли </w:t>
      </w:r>
      <w:r w:rsidR="00184046">
        <w:t xml:space="preserve">расходы </w:t>
      </w:r>
      <w:r>
        <w:t>по 6 ГРБС</w:t>
      </w:r>
      <w:r w:rsidR="00B835F7">
        <w:t xml:space="preserve">, </w:t>
      </w:r>
      <w:r w:rsidR="0073413D">
        <w:t>из них</w:t>
      </w:r>
      <w:r w:rsidR="00B835F7" w:rsidRPr="00B835F7">
        <w:t>:</w:t>
      </w:r>
      <w:r w:rsidR="00B835F7">
        <w:t xml:space="preserve"> </w:t>
      </w:r>
    </w:p>
    <w:p w:rsidR="00B835F7" w:rsidRDefault="00B835F7" w:rsidP="005D1B09">
      <w:pPr>
        <w:autoSpaceDE w:val="0"/>
        <w:autoSpaceDN w:val="0"/>
        <w:adjustRightInd w:val="0"/>
        <w:ind w:firstLine="708"/>
        <w:jc w:val="both"/>
      </w:pPr>
      <w:r>
        <w:t>-</w:t>
      </w:r>
      <w:r w:rsidRPr="00B835F7">
        <w:t>МКУ «Управление образования» -</w:t>
      </w:r>
      <w:r>
        <w:t xml:space="preserve"> на 16029,7 тыс. руб. или на 9,6</w:t>
      </w:r>
      <w:r w:rsidRPr="00B835F7">
        <w:t>%</w:t>
      </w:r>
      <w:r>
        <w:t>,</w:t>
      </w:r>
    </w:p>
    <w:p w:rsidR="00712B95" w:rsidRPr="00B835F7" w:rsidRDefault="00B835F7" w:rsidP="005D1B09">
      <w:pPr>
        <w:autoSpaceDE w:val="0"/>
        <w:autoSpaceDN w:val="0"/>
        <w:adjustRightInd w:val="0"/>
        <w:ind w:firstLine="708"/>
        <w:jc w:val="both"/>
      </w:pPr>
      <w:r>
        <w:t>-администрация</w:t>
      </w:r>
      <w:r w:rsidRPr="00B835F7">
        <w:t xml:space="preserve"> Лесозаводского городского округ</w:t>
      </w:r>
      <w:proofErr w:type="gramStart"/>
      <w:r w:rsidRPr="00B835F7">
        <w:t>а-</w:t>
      </w:r>
      <w:proofErr w:type="gramEnd"/>
      <w:r w:rsidRPr="00B835F7">
        <w:t xml:space="preserve"> </w:t>
      </w:r>
      <w:r>
        <w:t xml:space="preserve">на </w:t>
      </w:r>
      <w:r w:rsidRPr="00B835F7">
        <w:t>26730,6</w:t>
      </w:r>
      <w:r>
        <w:t xml:space="preserve"> тыс. руб. или в 2,5 раза</w:t>
      </w:r>
    </w:p>
    <w:p w:rsidR="00B835F7" w:rsidRDefault="00B835F7" w:rsidP="00B835F7">
      <w:pPr>
        <w:autoSpaceDE w:val="0"/>
        <w:autoSpaceDN w:val="0"/>
        <w:adjustRightInd w:val="0"/>
        <w:ind w:firstLine="708"/>
        <w:jc w:val="both"/>
      </w:pPr>
      <w:r>
        <w:t>-МКУ «Управление культуры, молодежной политики и спорта ЛГО» - на 6460,3тыс. руб. или на 29,7%,</w:t>
      </w:r>
    </w:p>
    <w:p w:rsidR="00712B95" w:rsidRDefault="00B835F7" w:rsidP="00B835F7">
      <w:pPr>
        <w:autoSpaceDE w:val="0"/>
        <w:autoSpaceDN w:val="0"/>
        <w:adjustRightInd w:val="0"/>
        <w:ind w:firstLine="708"/>
        <w:jc w:val="both"/>
      </w:pPr>
      <w:r>
        <w:t>-МКУ «Хозяйственное управление администрации ЛГО» - на 1724,9 тыс. руб. или на 34,9%.</w:t>
      </w:r>
    </w:p>
    <w:p w:rsidR="000628FE" w:rsidRDefault="00BF6177" w:rsidP="00BF6177">
      <w:pPr>
        <w:ind w:firstLine="709"/>
        <w:jc w:val="both"/>
      </w:pPr>
      <w:r w:rsidRPr="0073413D">
        <w:t>Анализ исполнения расходов бюджета по видам расходов за 1 квартал 20</w:t>
      </w:r>
      <w:r w:rsidR="00712B95" w:rsidRPr="0073413D">
        <w:t>20</w:t>
      </w:r>
      <w:r w:rsidRPr="0073413D">
        <w:t xml:space="preserve"> года представлен в таблице</w:t>
      </w:r>
      <w:r w:rsidR="00D201D2">
        <w:t>.</w:t>
      </w:r>
    </w:p>
    <w:p w:rsidR="00BF6177" w:rsidRDefault="00BF6177" w:rsidP="000628FE">
      <w:pPr>
        <w:ind w:firstLine="709"/>
        <w:jc w:val="both"/>
        <w:rPr>
          <w:sz w:val="28"/>
          <w:szCs w:val="28"/>
        </w:rPr>
      </w:pPr>
      <w:r w:rsidRPr="00683A43">
        <w:t xml:space="preserve"> </w:t>
      </w:r>
      <w:r w:rsidR="000628FE">
        <w:tab/>
      </w:r>
      <w:r w:rsidR="000628FE">
        <w:tab/>
      </w:r>
      <w:r w:rsidR="000628FE">
        <w:tab/>
      </w:r>
      <w:r w:rsidR="000628FE">
        <w:tab/>
      </w:r>
      <w:r w:rsidR="000628FE">
        <w:tab/>
      </w:r>
      <w:r w:rsidR="000628FE">
        <w:tab/>
      </w:r>
      <w:r w:rsidR="000628FE">
        <w:tab/>
      </w:r>
      <w:r w:rsidR="000628FE">
        <w:tab/>
      </w:r>
      <w:r w:rsidR="000628FE">
        <w:tab/>
      </w:r>
      <w:r w:rsidR="000628FE">
        <w:tab/>
      </w:r>
      <w:r w:rsidR="000628FE">
        <w:tab/>
      </w:r>
      <w:r>
        <w:t xml:space="preserve"> (тыс. руб.</w:t>
      </w:r>
      <w:r w:rsidR="000628FE">
        <w:t>)</w:t>
      </w: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2"/>
        <w:gridCol w:w="633"/>
        <w:gridCol w:w="1137"/>
        <w:gridCol w:w="1134"/>
        <w:gridCol w:w="706"/>
        <w:gridCol w:w="711"/>
        <w:gridCol w:w="1134"/>
        <w:gridCol w:w="991"/>
      </w:tblGrid>
      <w:tr w:rsidR="000628FE" w:rsidRPr="007D1E60" w:rsidTr="000628FE">
        <w:trPr>
          <w:trHeight w:val="221"/>
        </w:trPr>
        <w:tc>
          <w:tcPr>
            <w:tcW w:w="31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628FE" w:rsidRPr="007D1E60" w:rsidRDefault="000628FE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0628FE" w:rsidRPr="007D1E60" w:rsidRDefault="000628FE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36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628FE" w:rsidRPr="007D1E60" w:rsidRDefault="000628FE" w:rsidP="009F42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628FE" w:rsidRPr="000628FE" w:rsidRDefault="000628FE" w:rsidP="009B08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0628FE" w:rsidRPr="007D1E60" w:rsidRDefault="000628FE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 xml:space="preserve">Факт </w:t>
            </w:r>
            <w:proofErr w:type="gramStart"/>
            <w:r w:rsidRPr="007D1E60">
              <w:rPr>
                <w:b/>
                <w:bCs/>
                <w:color w:val="000000"/>
                <w:sz w:val="20"/>
                <w:szCs w:val="20"/>
              </w:rPr>
              <w:t>за</w:t>
            </w:r>
            <w:proofErr w:type="gramEnd"/>
          </w:p>
          <w:p w:rsidR="000628FE" w:rsidRPr="007D1E60" w:rsidRDefault="000628FE" w:rsidP="009F42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sz w:val="20"/>
                <w:szCs w:val="20"/>
              </w:rPr>
              <w:t>1 квартал 2019 года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628FE" w:rsidRPr="000628FE" w:rsidRDefault="000628FE" w:rsidP="009B08FE">
            <w:pPr>
              <w:jc w:val="center"/>
              <w:rPr>
                <w:b/>
                <w:sz w:val="16"/>
                <w:szCs w:val="16"/>
              </w:rPr>
            </w:pPr>
          </w:p>
          <w:p w:rsidR="000628FE" w:rsidRPr="007D1E60" w:rsidRDefault="000628FE" w:rsidP="009B08FE">
            <w:pPr>
              <w:jc w:val="center"/>
              <w:rPr>
                <w:b/>
                <w:sz w:val="20"/>
                <w:szCs w:val="20"/>
              </w:rPr>
            </w:pPr>
            <w:r w:rsidRPr="007D1E60">
              <w:rPr>
                <w:b/>
                <w:sz w:val="20"/>
                <w:szCs w:val="20"/>
              </w:rPr>
              <w:t xml:space="preserve">Отклонения </w:t>
            </w:r>
            <w:proofErr w:type="gramStart"/>
            <w:r w:rsidRPr="007D1E60">
              <w:rPr>
                <w:b/>
                <w:sz w:val="20"/>
                <w:szCs w:val="20"/>
              </w:rPr>
              <w:t>к</w:t>
            </w:r>
            <w:proofErr w:type="gramEnd"/>
            <w:r w:rsidRPr="007D1E60">
              <w:rPr>
                <w:b/>
                <w:sz w:val="20"/>
                <w:szCs w:val="20"/>
              </w:rPr>
              <w:t xml:space="preserve"> </w:t>
            </w:r>
          </w:p>
          <w:p w:rsidR="000628FE" w:rsidRPr="007D1E60" w:rsidRDefault="000628FE" w:rsidP="009B08FE">
            <w:pPr>
              <w:jc w:val="center"/>
              <w:rPr>
                <w:b/>
                <w:sz w:val="20"/>
                <w:szCs w:val="20"/>
              </w:rPr>
            </w:pPr>
            <w:r w:rsidRPr="007D1E60">
              <w:rPr>
                <w:b/>
                <w:sz w:val="20"/>
                <w:szCs w:val="20"/>
              </w:rPr>
              <w:t>2019 г.,</w:t>
            </w:r>
          </w:p>
          <w:p w:rsidR="000628FE" w:rsidRPr="007D1E60" w:rsidRDefault="000628FE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1E60">
              <w:rPr>
                <w:b/>
                <w:sz w:val="20"/>
                <w:szCs w:val="20"/>
              </w:rPr>
              <w:t>тыс</w:t>
            </w:r>
            <w:proofErr w:type="gramStart"/>
            <w:r w:rsidRPr="007D1E60">
              <w:rPr>
                <w:b/>
                <w:sz w:val="20"/>
                <w:szCs w:val="20"/>
              </w:rPr>
              <w:t>.р</w:t>
            </w:r>
            <w:proofErr w:type="gramEnd"/>
            <w:r w:rsidRPr="007D1E60">
              <w:rPr>
                <w:b/>
                <w:sz w:val="20"/>
                <w:szCs w:val="20"/>
              </w:rPr>
              <w:t>уб</w:t>
            </w:r>
            <w:proofErr w:type="spellEnd"/>
            <w:r w:rsidRPr="007D1E60">
              <w:rPr>
                <w:b/>
                <w:sz w:val="20"/>
                <w:szCs w:val="20"/>
              </w:rPr>
              <w:t>.</w:t>
            </w:r>
          </w:p>
        </w:tc>
      </w:tr>
      <w:tr w:rsidR="000628FE" w:rsidRPr="007D1E60" w:rsidTr="000628FE">
        <w:trPr>
          <w:trHeight w:val="883"/>
        </w:trPr>
        <w:tc>
          <w:tcPr>
            <w:tcW w:w="319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628FE" w:rsidRPr="007D1E60" w:rsidRDefault="000628FE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0628FE" w:rsidRPr="007D1E60" w:rsidRDefault="000628FE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FE" w:rsidRPr="007D1E60" w:rsidRDefault="000628FE" w:rsidP="009F42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Уточненный план  на 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FE" w:rsidRPr="007D1E60" w:rsidRDefault="000628FE" w:rsidP="009F42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Факт за</w:t>
            </w:r>
            <w:r w:rsidRPr="007D1E60">
              <w:rPr>
                <w:b/>
                <w:sz w:val="20"/>
                <w:szCs w:val="20"/>
              </w:rPr>
              <w:t xml:space="preserve"> 1 квартал 2020 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0628FE" w:rsidRPr="007D1E60" w:rsidRDefault="000628FE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</w:tcPr>
          <w:p w:rsidR="000628FE" w:rsidRPr="007D1E60" w:rsidRDefault="000628FE" w:rsidP="007D1E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Доля</w:t>
            </w:r>
            <w:r w:rsidRPr="007D1E60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FE" w:rsidRPr="007D1E60" w:rsidRDefault="000628FE" w:rsidP="009F42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</w:tcPr>
          <w:p w:rsidR="000628FE" w:rsidRPr="007D1E60" w:rsidRDefault="000628FE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3B81" w:rsidRPr="007D1E60" w:rsidTr="000628FE">
        <w:trPr>
          <w:trHeight w:val="44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43B81" w:rsidRPr="007D1E60" w:rsidRDefault="00C43B81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Расходы на выплату персоналу казенных учреждений и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B81" w:rsidRPr="007D1E60" w:rsidRDefault="00C43B81" w:rsidP="009F42A4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133961,4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3B81" w:rsidRPr="007D1E60" w:rsidRDefault="00C43B81" w:rsidP="009F4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1E60">
              <w:rPr>
                <w:b/>
                <w:color w:val="000000"/>
                <w:sz w:val="20"/>
                <w:szCs w:val="20"/>
              </w:rPr>
              <w:t>30769,0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26718,2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702E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43B81" w:rsidRPr="007D1E60">
              <w:rPr>
                <w:color w:val="000000"/>
                <w:sz w:val="20"/>
                <w:szCs w:val="20"/>
              </w:rPr>
              <w:t>4050,8</w:t>
            </w:r>
          </w:p>
        </w:tc>
      </w:tr>
      <w:tr w:rsidR="00C43B81" w:rsidRPr="007D1E60" w:rsidTr="000628FE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43B81" w:rsidRPr="007D1E60" w:rsidRDefault="00C43B81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172273,6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1E60">
              <w:rPr>
                <w:b/>
                <w:color w:val="000000"/>
                <w:sz w:val="20"/>
                <w:szCs w:val="20"/>
              </w:rPr>
              <w:t>14075,1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11428,9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702E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43B81" w:rsidRPr="007D1E60">
              <w:rPr>
                <w:color w:val="000000"/>
                <w:sz w:val="20"/>
                <w:szCs w:val="20"/>
              </w:rPr>
              <w:t>2646,2</w:t>
            </w:r>
          </w:p>
        </w:tc>
      </w:tr>
      <w:tr w:rsidR="00C43B81" w:rsidRPr="007D1E60" w:rsidTr="000628FE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3B81" w:rsidRPr="007D1E60" w:rsidRDefault="00C43B81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67033,3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12670,3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E60">
              <w:rPr>
                <w:bCs/>
                <w:color w:val="000000"/>
                <w:sz w:val="20"/>
                <w:szCs w:val="20"/>
              </w:rPr>
              <w:t>2928,8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702E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43B81" w:rsidRPr="007D1E60">
              <w:rPr>
                <w:color w:val="000000"/>
                <w:sz w:val="20"/>
                <w:szCs w:val="20"/>
              </w:rPr>
              <w:t>9741,5</w:t>
            </w:r>
          </w:p>
        </w:tc>
      </w:tr>
      <w:tr w:rsidR="00C43B81" w:rsidRPr="007D1E60" w:rsidTr="000628FE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3B81" w:rsidRPr="007D1E60" w:rsidRDefault="00C43B81" w:rsidP="007D1E60">
            <w:pPr>
              <w:jc w:val="both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 xml:space="preserve">Капитальные вложения в объекты недвижимого имущества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84662,4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1E60">
              <w:rPr>
                <w:b/>
                <w:color w:val="000000"/>
                <w:sz w:val="20"/>
                <w:szCs w:val="20"/>
              </w:rPr>
              <w:t>12302,4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702E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43B81" w:rsidRPr="007D1E60">
              <w:rPr>
                <w:color w:val="000000"/>
                <w:sz w:val="20"/>
                <w:szCs w:val="20"/>
              </w:rPr>
              <w:t>11297,4</w:t>
            </w:r>
          </w:p>
        </w:tc>
      </w:tr>
      <w:tr w:rsidR="00C43B81" w:rsidRPr="007D1E60" w:rsidTr="000628FE">
        <w:trPr>
          <w:trHeight w:val="23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3B81" w:rsidRPr="007D1E60" w:rsidRDefault="00C43B81" w:rsidP="009B08FE">
            <w:pPr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Субсидии бюджетным  и автономным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753408,3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1E60">
              <w:rPr>
                <w:b/>
                <w:color w:val="000000"/>
                <w:sz w:val="20"/>
                <w:szCs w:val="20"/>
              </w:rPr>
              <w:t>196182,1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175414,6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702E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43B81" w:rsidRPr="007D1E60">
              <w:rPr>
                <w:color w:val="000000"/>
                <w:sz w:val="20"/>
                <w:szCs w:val="20"/>
              </w:rPr>
              <w:t>20767,5</w:t>
            </w:r>
          </w:p>
        </w:tc>
      </w:tr>
      <w:tr w:rsidR="00C43B81" w:rsidRPr="007D1E60" w:rsidTr="000628FE">
        <w:trPr>
          <w:trHeight w:val="322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43B81" w:rsidRPr="007D1E60" w:rsidRDefault="00C43B81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11643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1E60">
              <w:rPr>
                <w:b/>
                <w:color w:val="000000"/>
                <w:sz w:val="20"/>
                <w:szCs w:val="20"/>
              </w:rPr>
              <w:t>2040,8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1930,5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702E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43B81" w:rsidRPr="007D1E60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C43B81" w:rsidRPr="007D1E60" w:rsidTr="000628FE">
        <w:trPr>
          <w:trHeight w:val="36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43B81" w:rsidRPr="007D1E60" w:rsidRDefault="00C43B81" w:rsidP="009B08FE">
            <w:pPr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i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4832,2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1E60">
              <w:rPr>
                <w:b/>
                <w:color w:val="000000"/>
                <w:sz w:val="20"/>
                <w:szCs w:val="20"/>
              </w:rPr>
              <w:t>2359,3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702E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43B81" w:rsidRPr="007D1E60">
              <w:rPr>
                <w:color w:val="000000"/>
                <w:sz w:val="20"/>
                <w:szCs w:val="20"/>
              </w:rPr>
              <w:t>2359,3</w:t>
            </w:r>
          </w:p>
        </w:tc>
      </w:tr>
      <w:tr w:rsidR="00C43B81" w:rsidRPr="007D1E60" w:rsidTr="000628FE">
        <w:trPr>
          <w:trHeight w:val="36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3B81" w:rsidRPr="007D1E60" w:rsidRDefault="00C43B81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17614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1E60">
              <w:rPr>
                <w:b/>
                <w:color w:val="000000"/>
                <w:sz w:val="20"/>
                <w:szCs w:val="20"/>
              </w:rPr>
              <w:t>405,5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900,71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>
            <w:pPr>
              <w:jc w:val="right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-495,21</w:t>
            </w:r>
          </w:p>
        </w:tc>
      </w:tr>
      <w:tr w:rsidR="00C43B81" w:rsidRPr="007D1E60" w:rsidTr="000628FE">
        <w:trPr>
          <w:trHeight w:val="35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3B81" w:rsidRPr="007D1E60" w:rsidRDefault="00C43B81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1016,5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1E60">
              <w:rPr>
                <w:b/>
                <w:color w:val="000000"/>
                <w:sz w:val="20"/>
                <w:szCs w:val="20"/>
              </w:rPr>
              <w:t>201,0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418,3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>
            <w:pPr>
              <w:jc w:val="right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-217,3</w:t>
            </w:r>
          </w:p>
        </w:tc>
      </w:tr>
      <w:tr w:rsidR="00C43B81" w:rsidRPr="007D1E60" w:rsidTr="000628FE">
        <w:trPr>
          <w:trHeight w:val="28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3B81" w:rsidRPr="007D1E60" w:rsidRDefault="00C43B81" w:rsidP="009B08FE">
            <w:pPr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1E60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3B81" w:rsidRPr="007D1E60" w:rsidRDefault="00C43B81" w:rsidP="0073413D">
            <w:pPr>
              <w:jc w:val="center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B81" w:rsidRPr="007D1E60" w:rsidRDefault="00C43B81">
            <w:pPr>
              <w:jc w:val="right"/>
              <w:rPr>
                <w:color w:val="000000"/>
                <w:sz w:val="20"/>
                <w:szCs w:val="20"/>
              </w:rPr>
            </w:pPr>
            <w:r w:rsidRPr="007D1E6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43B81" w:rsidRPr="007D1E60" w:rsidTr="000628FE">
        <w:trPr>
          <w:trHeight w:val="3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B81" w:rsidRPr="007D1E60" w:rsidRDefault="00C43B81" w:rsidP="009B08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43B81" w:rsidRPr="007D1E60" w:rsidRDefault="00C43B81" w:rsidP="009B08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1246604,0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271005,5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bottom"/>
          </w:tcPr>
          <w:p w:rsidR="00C43B81" w:rsidRPr="007D1E60" w:rsidRDefault="00C43B81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C43B81" w:rsidRPr="007D1E60" w:rsidRDefault="00C43B81" w:rsidP="007341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1E60">
              <w:rPr>
                <w:b/>
                <w:bCs/>
                <w:color w:val="000000"/>
                <w:sz w:val="20"/>
                <w:szCs w:val="20"/>
              </w:rPr>
              <w:t>220745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bottom"/>
          </w:tcPr>
          <w:p w:rsidR="00C43B81" w:rsidRPr="007D1E60" w:rsidRDefault="00702E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43B81" w:rsidRPr="007D1E60">
              <w:rPr>
                <w:color w:val="000000"/>
                <w:sz w:val="20"/>
                <w:szCs w:val="20"/>
              </w:rPr>
              <w:t>50260,5</w:t>
            </w:r>
          </w:p>
        </w:tc>
      </w:tr>
    </w:tbl>
    <w:p w:rsidR="00BF6177" w:rsidRPr="00C43B81" w:rsidRDefault="00BF6177" w:rsidP="00BF617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E19C7" w:rsidRDefault="006E19C7" w:rsidP="006E19C7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lang w:eastAsia="en-US"/>
        </w:rPr>
        <w:lastRenderedPageBreak/>
        <w:t xml:space="preserve">Самый низкий процент </w:t>
      </w:r>
      <w:r w:rsidR="00184046">
        <w:rPr>
          <w:rFonts w:eastAsia="Calibri"/>
          <w:lang w:eastAsia="en-US"/>
        </w:rPr>
        <w:t xml:space="preserve">исполнения </w:t>
      </w:r>
      <w:r>
        <w:rPr>
          <w:rFonts w:eastAsia="Calibri"/>
          <w:lang w:eastAsia="en-US"/>
        </w:rPr>
        <w:t xml:space="preserve">по </w:t>
      </w:r>
      <w:r w:rsidR="00184046">
        <w:rPr>
          <w:rFonts w:eastAsia="Calibri"/>
          <w:lang w:eastAsia="en-US"/>
        </w:rPr>
        <w:t xml:space="preserve">видам </w:t>
      </w:r>
      <w:r>
        <w:rPr>
          <w:rFonts w:eastAsia="Calibri"/>
          <w:lang w:eastAsia="en-US"/>
        </w:rPr>
        <w:t>расход</w:t>
      </w:r>
      <w:r w:rsidR="0073413D">
        <w:rPr>
          <w:rFonts w:eastAsia="Calibri"/>
          <w:lang w:eastAsia="en-US"/>
        </w:rPr>
        <w:t xml:space="preserve">ам </w:t>
      </w:r>
      <w:r w:rsidR="00994BAB">
        <w:rPr>
          <w:rFonts w:eastAsia="Calibri"/>
          <w:lang w:eastAsia="en-US"/>
        </w:rPr>
        <w:t>наблюдается</w:t>
      </w:r>
      <w:r w:rsidR="00184046">
        <w:rPr>
          <w:rFonts w:eastAsia="Calibri"/>
          <w:lang w:eastAsia="en-US"/>
        </w:rPr>
        <w:t xml:space="preserve"> по </w:t>
      </w:r>
      <w:r w:rsidR="0073413D">
        <w:rPr>
          <w:rFonts w:eastAsia="Calibri"/>
          <w:lang w:eastAsia="en-US"/>
        </w:rPr>
        <w:t>исполнен</w:t>
      </w:r>
      <w:r w:rsidR="00184046">
        <w:rPr>
          <w:rFonts w:eastAsia="Calibri"/>
          <w:lang w:eastAsia="en-US"/>
        </w:rPr>
        <w:t>ию</w:t>
      </w:r>
      <w:r w:rsidR="0073413D">
        <w:rPr>
          <w:rFonts w:eastAsia="Calibri"/>
          <w:lang w:eastAsia="en-US"/>
        </w:rPr>
        <w:t xml:space="preserve"> </w:t>
      </w:r>
      <w:r w:rsidRPr="006E19C7">
        <w:rPr>
          <w:rFonts w:eastAsiaTheme="minorHAnsi"/>
          <w:lang w:eastAsia="en-US"/>
        </w:rPr>
        <w:t xml:space="preserve">судебных актов </w:t>
      </w:r>
      <w:r w:rsidRPr="00B84057">
        <w:t xml:space="preserve">– </w:t>
      </w:r>
      <w:r w:rsidRPr="0089567E">
        <w:rPr>
          <w:b/>
        </w:rPr>
        <w:t>2,3%</w:t>
      </w:r>
      <w:r w:rsidR="0073413D" w:rsidRPr="0089567E">
        <w:rPr>
          <w:b/>
        </w:rPr>
        <w:t>,</w:t>
      </w:r>
      <w:r w:rsidRPr="00B84057">
        <w:t xml:space="preserve"> </w:t>
      </w:r>
      <w:r w:rsidR="00184046">
        <w:t xml:space="preserve">на </w:t>
      </w:r>
      <w:r w:rsidR="0073413D">
        <w:t>з</w:t>
      </w:r>
      <w:r w:rsidRPr="006E19C7">
        <w:t>акупк</w:t>
      </w:r>
      <w:r w:rsidR="0073413D">
        <w:t>у</w:t>
      </w:r>
      <w:r w:rsidRPr="006E19C7">
        <w:t xml:space="preserve"> товаров, работ и услуг  </w:t>
      </w:r>
      <w:r w:rsidRPr="00B84057">
        <w:t xml:space="preserve">– </w:t>
      </w:r>
      <w:r w:rsidRPr="0089567E">
        <w:rPr>
          <w:b/>
        </w:rPr>
        <w:t>8,2%</w:t>
      </w:r>
      <w:r>
        <w:t xml:space="preserve">, </w:t>
      </w:r>
      <w:r w:rsidR="00184046">
        <w:t xml:space="preserve">на </w:t>
      </w:r>
      <w:r w:rsidR="0073413D">
        <w:t>к</w:t>
      </w:r>
      <w:r w:rsidRPr="006E19C7">
        <w:t>апитальные вложения в объекты недвижимого имущества</w:t>
      </w:r>
      <w:r>
        <w:t xml:space="preserve"> – </w:t>
      </w:r>
      <w:r w:rsidRPr="0089567E">
        <w:rPr>
          <w:b/>
        </w:rPr>
        <w:t>14,5%.</w:t>
      </w:r>
    </w:p>
    <w:p w:rsidR="006E19C7" w:rsidRDefault="006E19C7" w:rsidP="006E19C7">
      <w:pPr>
        <w:autoSpaceDE w:val="0"/>
        <w:autoSpaceDN w:val="0"/>
        <w:adjustRightInd w:val="0"/>
        <w:ind w:firstLine="708"/>
        <w:jc w:val="both"/>
      </w:pPr>
      <w:r w:rsidRPr="005D1B09">
        <w:t>Основн</w:t>
      </w:r>
      <w:r w:rsidR="00184046">
        <w:t>ой объем</w:t>
      </w:r>
      <w:r w:rsidRPr="005D1B09">
        <w:t xml:space="preserve"> исполненных расходов приходится на </w:t>
      </w:r>
      <w:r w:rsidR="00184046">
        <w:t>с</w:t>
      </w:r>
      <w:r w:rsidRPr="006E19C7">
        <w:t xml:space="preserve">убсидии бюджетным  и автономным учреждениям </w:t>
      </w:r>
      <w:r w:rsidRPr="005D1B09">
        <w:t>-</w:t>
      </w:r>
      <w:r>
        <w:t>72,4</w:t>
      </w:r>
      <w:r w:rsidRPr="005D1B09">
        <w:t>%</w:t>
      </w:r>
      <w:r>
        <w:t>.</w:t>
      </w:r>
    </w:p>
    <w:p w:rsidR="0073413D" w:rsidRDefault="0073413D" w:rsidP="00184046">
      <w:pPr>
        <w:ind w:firstLine="708"/>
        <w:jc w:val="both"/>
      </w:pPr>
      <w:proofErr w:type="gramStart"/>
      <w:r>
        <w:t xml:space="preserve">По отношению к 1 кварталу 2019 года </w:t>
      </w:r>
      <w:r w:rsidR="00184046">
        <w:t>значительно увеличились расходы по социальному обеспечению и иным выплатам населению</w:t>
      </w:r>
      <w:r w:rsidR="006A03A8">
        <w:t xml:space="preserve"> </w:t>
      </w:r>
      <w:r w:rsidR="00184046">
        <w:t xml:space="preserve">– на </w:t>
      </w:r>
      <w:r w:rsidR="00184046" w:rsidRPr="00184046">
        <w:t>9741,5</w:t>
      </w:r>
      <w:r w:rsidR="00184046">
        <w:t xml:space="preserve"> тыс. руб.</w:t>
      </w:r>
      <w:r w:rsidR="00D201D2">
        <w:t xml:space="preserve"> (за счет поступления субвенций по социальной поддержке детей, оставшихся без попечения родителей)</w:t>
      </w:r>
      <w:r w:rsidR="00184046">
        <w:t xml:space="preserve">, на капитальные вложения в объекты недвижимого имущества – на </w:t>
      </w:r>
      <w:r w:rsidR="00184046" w:rsidRPr="00184046">
        <w:t>11297,4</w:t>
      </w:r>
      <w:r w:rsidR="00184046">
        <w:t xml:space="preserve"> тыс. руб.</w:t>
      </w:r>
      <w:r w:rsidR="006A03A8">
        <w:t xml:space="preserve"> </w:t>
      </w:r>
      <w:r w:rsidR="00D201D2">
        <w:t>(</w:t>
      </w:r>
      <w:r w:rsidR="006A03A8">
        <w:t>за счет бюджетных инвестиций на обеспечение детей-сирот и детей, оставшихся без попечения родителей</w:t>
      </w:r>
      <w:r w:rsidR="00515F78">
        <w:t xml:space="preserve"> жилыми помещениями</w:t>
      </w:r>
      <w:r w:rsidR="00D201D2">
        <w:t>)</w:t>
      </w:r>
      <w:r w:rsidR="00184046">
        <w:t>, на</w:t>
      </w:r>
      <w:proofErr w:type="gramEnd"/>
      <w:r w:rsidR="00184046">
        <w:t xml:space="preserve"> субсидии бюджетным  и автономным учреждениям – на </w:t>
      </w:r>
      <w:r w:rsidR="00184046" w:rsidRPr="00184046">
        <w:t>20767,5</w:t>
      </w:r>
      <w:r w:rsidR="00184046">
        <w:t xml:space="preserve"> тыс. руб. </w:t>
      </w:r>
    </w:p>
    <w:p w:rsidR="00B0757A" w:rsidRDefault="008442A1" w:rsidP="00D201D2">
      <w:pPr>
        <w:autoSpaceDE w:val="0"/>
        <w:autoSpaceDN w:val="0"/>
        <w:adjustRightInd w:val="0"/>
        <w:ind w:firstLine="708"/>
        <w:jc w:val="both"/>
      </w:pPr>
      <w:r w:rsidRPr="00902A5D">
        <w:t>Исполнение расходов по разделам классификации расходов бюджетов за</w:t>
      </w:r>
      <w:r w:rsidR="00D41EDC" w:rsidRPr="00902A5D">
        <w:t xml:space="preserve"> </w:t>
      </w:r>
      <w:r w:rsidR="00902A5D" w:rsidRPr="00902A5D">
        <w:t xml:space="preserve">1 квартал </w:t>
      </w:r>
      <w:r w:rsidRPr="00902A5D">
        <w:t>20</w:t>
      </w:r>
      <w:r w:rsidR="00902A5D" w:rsidRPr="00902A5D">
        <w:t>20</w:t>
      </w:r>
      <w:r w:rsidRPr="00902A5D">
        <w:t xml:space="preserve"> года</w:t>
      </w:r>
      <w:r w:rsidRPr="00127FE2">
        <w:t xml:space="preserve"> представлено</w:t>
      </w:r>
      <w:r w:rsidRPr="00127FE2">
        <w:rPr>
          <w:sz w:val="28"/>
          <w:szCs w:val="28"/>
        </w:rPr>
        <w:t xml:space="preserve"> </w:t>
      </w:r>
      <w:r w:rsidR="00731EF0">
        <w:t>в таблице.</w:t>
      </w:r>
    </w:p>
    <w:p w:rsidR="001E1C08" w:rsidRPr="0039599F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02A5D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</w:t>
      </w:r>
      <w:proofErr w:type="gramStart"/>
      <w:r w:rsidRPr="0039599F">
        <w:rPr>
          <w:color w:val="000000"/>
          <w:sz w:val="20"/>
          <w:szCs w:val="20"/>
        </w:rPr>
        <w:t>.р</w:t>
      </w:r>
      <w:proofErr w:type="gramEnd"/>
      <w:r w:rsidRPr="0039599F">
        <w:rPr>
          <w:color w:val="000000"/>
          <w:sz w:val="20"/>
          <w:szCs w:val="20"/>
        </w:rPr>
        <w:t>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9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835"/>
        <w:gridCol w:w="993"/>
        <w:gridCol w:w="992"/>
        <w:gridCol w:w="709"/>
        <w:gridCol w:w="708"/>
        <w:gridCol w:w="993"/>
        <w:gridCol w:w="992"/>
        <w:gridCol w:w="684"/>
      </w:tblGrid>
      <w:tr w:rsidR="00D201D2" w:rsidRPr="00823FBD" w:rsidTr="00070D4B">
        <w:trPr>
          <w:trHeight w:val="424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1D2" w:rsidRPr="002235E4" w:rsidRDefault="00D201D2" w:rsidP="00D42D21">
            <w:pPr>
              <w:ind w:hanging="133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D2" w:rsidRPr="002235E4" w:rsidRDefault="00D201D2" w:rsidP="00CC3340">
            <w:pPr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01D2" w:rsidRPr="002235E4" w:rsidRDefault="00D201D2" w:rsidP="00902A5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Уточненный план на 20</w:t>
            </w:r>
            <w:r>
              <w:rPr>
                <w:b/>
                <w:sz w:val="18"/>
                <w:szCs w:val="18"/>
              </w:rPr>
              <w:t>20</w:t>
            </w:r>
            <w:r w:rsidRPr="002235E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01D2" w:rsidRPr="002235E4" w:rsidRDefault="00D201D2" w:rsidP="00902A5D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Исполнение </w:t>
            </w:r>
            <w:r w:rsidRPr="002235E4">
              <w:rPr>
                <w:b/>
                <w:sz w:val="18"/>
                <w:szCs w:val="18"/>
              </w:rPr>
              <w:t>за 1 квартал 20</w:t>
            </w:r>
            <w:r>
              <w:rPr>
                <w:b/>
                <w:sz w:val="18"/>
                <w:szCs w:val="18"/>
              </w:rPr>
              <w:t>20</w:t>
            </w:r>
            <w:r w:rsidRPr="002235E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01D2" w:rsidRPr="002235E4" w:rsidRDefault="00D201D2" w:rsidP="00DB1B18">
            <w:pPr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 xml:space="preserve">% </w:t>
            </w:r>
          </w:p>
          <w:p w:rsidR="00D201D2" w:rsidRPr="002235E4" w:rsidRDefault="00D201D2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235E4">
              <w:rPr>
                <w:b/>
                <w:sz w:val="18"/>
                <w:szCs w:val="18"/>
              </w:rPr>
              <w:t>испол</w:t>
            </w:r>
            <w:proofErr w:type="spellEnd"/>
            <w:r w:rsidRPr="002235E4">
              <w:rPr>
                <w:b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01D2" w:rsidRPr="002235E4" w:rsidRDefault="00D201D2" w:rsidP="00D201D2">
            <w:pPr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color w:val="000000"/>
                <w:sz w:val="18"/>
                <w:szCs w:val="18"/>
              </w:rPr>
              <w:t>Доля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 w:rsidRPr="002235E4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235E4">
              <w:rPr>
                <w:b/>
                <w:color w:val="000000"/>
                <w:sz w:val="18"/>
                <w:szCs w:val="18"/>
              </w:rPr>
              <w:t>в</w:t>
            </w:r>
            <w:proofErr w:type="gramEnd"/>
            <w:r w:rsidRPr="002235E4">
              <w:rPr>
                <w:b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01D2" w:rsidRPr="002235E4" w:rsidRDefault="00D201D2" w:rsidP="007D1E60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Факт за 1 квартал 20</w:t>
            </w:r>
            <w:r>
              <w:rPr>
                <w:b/>
                <w:sz w:val="18"/>
                <w:szCs w:val="18"/>
              </w:rPr>
              <w:t>19</w:t>
            </w:r>
            <w:r w:rsidRPr="002235E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1D2" w:rsidRDefault="00D201D2" w:rsidP="004945AF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 xml:space="preserve">Отклонения </w:t>
            </w:r>
            <w:proofErr w:type="gramStart"/>
            <w:r w:rsidRPr="00A75BE5">
              <w:rPr>
                <w:b/>
                <w:sz w:val="18"/>
                <w:szCs w:val="18"/>
              </w:rPr>
              <w:t>к</w:t>
            </w:r>
            <w:proofErr w:type="gramEnd"/>
            <w:r w:rsidRPr="00A75BE5">
              <w:rPr>
                <w:b/>
                <w:sz w:val="18"/>
                <w:szCs w:val="18"/>
              </w:rPr>
              <w:t xml:space="preserve"> </w:t>
            </w:r>
          </w:p>
          <w:p w:rsidR="00D201D2" w:rsidRPr="00A75BE5" w:rsidRDefault="00D201D2" w:rsidP="007D1E60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>1 кв.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75BE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19</w:t>
            </w:r>
            <w:r w:rsidRPr="00A75BE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г.</w:t>
            </w:r>
          </w:p>
        </w:tc>
      </w:tr>
      <w:tr w:rsidR="00D201D2" w:rsidRPr="00823FBD" w:rsidTr="00070D4B">
        <w:trPr>
          <w:trHeight w:val="424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D2" w:rsidRPr="00356723" w:rsidRDefault="00D201D2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D2" w:rsidRPr="00356723" w:rsidRDefault="00D201D2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01D2" w:rsidRPr="00356723" w:rsidRDefault="00D201D2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01D2" w:rsidRPr="00356723" w:rsidRDefault="00D201D2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01D2" w:rsidRPr="00356723" w:rsidRDefault="00D201D2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01D2" w:rsidRPr="00356723" w:rsidRDefault="00D201D2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01D2" w:rsidRPr="00356723" w:rsidRDefault="00D201D2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01D2" w:rsidRPr="002235E4" w:rsidRDefault="00D201D2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235E4">
              <w:rPr>
                <w:b/>
                <w:sz w:val="18"/>
                <w:szCs w:val="18"/>
              </w:rPr>
              <w:t>тыс</w:t>
            </w:r>
            <w:proofErr w:type="gramStart"/>
            <w:r w:rsidRPr="002235E4">
              <w:rPr>
                <w:b/>
                <w:sz w:val="18"/>
                <w:szCs w:val="18"/>
              </w:rPr>
              <w:t>.р</w:t>
            </w:r>
            <w:proofErr w:type="gramEnd"/>
            <w:r w:rsidRPr="002235E4">
              <w:rPr>
                <w:b/>
                <w:sz w:val="18"/>
                <w:szCs w:val="18"/>
              </w:rPr>
              <w:t>уб</w:t>
            </w:r>
            <w:proofErr w:type="spellEnd"/>
            <w:r w:rsidRPr="002235E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01D2" w:rsidRPr="002235E4" w:rsidRDefault="00D201D2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%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1B2" w:rsidRPr="00E63D0F" w:rsidRDefault="002251B2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122582,4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24216,0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20288,9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3927,1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119,4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0200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1B2" w:rsidRPr="00E63D0F" w:rsidRDefault="002251B2" w:rsidP="00D42D21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FB06B4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3</w:t>
            </w:r>
            <w:r w:rsidR="007D1E6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7D1E60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259,1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890F83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406,3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33311,8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3617,3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3966,7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-349,4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168060,7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8743,9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3483,7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5260,2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890F83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0700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745781,2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189628,8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620AD7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20AD7">
              <w:rPr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173867,5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15761,3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109,1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0800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D42D21">
            <w:pPr>
              <w:ind w:right="-136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54174,6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620AD7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20AD7">
              <w:rPr>
                <w:bCs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11095,4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3680,3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133,2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90184,1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22165,4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620AD7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20AD7">
              <w:rPr>
                <w:bCs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2928,8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19236,6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890F83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756,8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16937,1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620AD7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20AD7">
              <w:rPr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2234,2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2076,6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192,9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D42D21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620AD7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20AD7">
              <w:rPr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864,8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315,5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136,5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620AD7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20AD7">
              <w:rPr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FB06B4" w:rsidRDefault="002251B2" w:rsidP="00065D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06B4">
              <w:rPr>
                <w:bCs/>
                <w:color w:val="000000"/>
                <w:sz w:val="20"/>
                <w:szCs w:val="20"/>
              </w:rPr>
              <w:t>1930,5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105,7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1525B5" w:rsidRDefault="002251B2" w:rsidP="00731EF0">
            <w:pPr>
              <w:rPr>
                <w:sz w:val="20"/>
                <w:szCs w:val="20"/>
              </w:rPr>
            </w:pPr>
            <w:r w:rsidRPr="00E63D0F">
              <w:rPr>
                <w:b/>
                <w:sz w:val="20"/>
                <w:szCs w:val="20"/>
              </w:rPr>
              <w:t>ВСЕГО РАСХОДЫ,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525B5">
              <w:rPr>
                <w:sz w:val="20"/>
                <w:szCs w:val="20"/>
              </w:rPr>
              <w:t>их 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1246604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271005,5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E63D0F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220745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50260,5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122,8</w:t>
            </w:r>
          </w:p>
        </w:tc>
      </w:tr>
      <w:tr w:rsidR="002251B2" w:rsidRPr="00823FBD" w:rsidTr="007D1E60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374A8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B2" w:rsidRPr="00E63D0F" w:rsidRDefault="002251B2" w:rsidP="005B7199">
            <w:pPr>
              <w:rPr>
                <w:sz w:val="20"/>
                <w:szCs w:val="20"/>
              </w:rPr>
            </w:pPr>
            <w:r w:rsidRPr="005B7199">
              <w:rPr>
                <w:b/>
                <w:sz w:val="20"/>
                <w:szCs w:val="20"/>
                <w:lang w:eastAsia="en-US" w:bidi="en-US"/>
              </w:rPr>
              <w:t>на</w:t>
            </w:r>
            <w:r w:rsidRPr="005B7199">
              <w:rPr>
                <w:sz w:val="20"/>
                <w:szCs w:val="20"/>
                <w:lang w:eastAsia="en-US" w:bidi="en-US"/>
              </w:rPr>
              <w:t xml:space="preserve"> </w:t>
            </w:r>
            <w:r w:rsidRPr="005B7199">
              <w:rPr>
                <w:b/>
                <w:sz w:val="20"/>
                <w:szCs w:val="20"/>
                <w:lang w:eastAsia="en-US" w:bidi="en-US"/>
              </w:rPr>
              <w:t>социально-культурн</w:t>
            </w:r>
            <w:r>
              <w:rPr>
                <w:b/>
                <w:sz w:val="20"/>
                <w:szCs w:val="20"/>
                <w:lang w:eastAsia="en-US" w:bidi="en-US"/>
              </w:rPr>
              <w:t>ую</w:t>
            </w:r>
            <w:r w:rsidRPr="005B7199">
              <w:rPr>
                <w:b/>
                <w:sz w:val="20"/>
                <w:szCs w:val="20"/>
                <w:lang w:eastAsia="en-US" w:bidi="en-US"/>
              </w:rPr>
              <w:t xml:space="preserve"> сфер</w:t>
            </w:r>
            <w:r>
              <w:rPr>
                <w:b/>
                <w:sz w:val="20"/>
                <w:szCs w:val="20"/>
                <w:lang w:eastAsia="en-US" w:bidi="en-US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1525B5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907077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1525B5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230880,7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1525B5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1525B5" w:rsidRDefault="002251B2" w:rsidP="00065D5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1525B5" w:rsidRDefault="002251B2" w:rsidP="00065D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25B5">
              <w:rPr>
                <w:b/>
                <w:bCs/>
                <w:color w:val="000000"/>
                <w:sz w:val="20"/>
                <w:szCs w:val="20"/>
              </w:rPr>
              <w:t>190125,9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2251B2">
              <w:rPr>
                <w:color w:val="000000"/>
                <w:sz w:val="20"/>
                <w:szCs w:val="20"/>
              </w:rPr>
              <w:t>40754,8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51B2" w:rsidRPr="002251B2" w:rsidRDefault="002251B2" w:rsidP="00065D5E">
            <w:pPr>
              <w:jc w:val="right"/>
              <w:rPr>
                <w:color w:val="000000"/>
                <w:sz w:val="20"/>
                <w:szCs w:val="20"/>
              </w:rPr>
            </w:pPr>
            <w:r w:rsidRPr="002251B2">
              <w:rPr>
                <w:color w:val="000000"/>
                <w:sz w:val="20"/>
                <w:szCs w:val="20"/>
              </w:rPr>
              <w:t>121,4</w:t>
            </w:r>
          </w:p>
        </w:tc>
      </w:tr>
    </w:tbl>
    <w:p w:rsidR="001E1C08" w:rsidRPr="00823FBD" w:rsidRDefault="001E1C08" w:rsidP="001E1C08">
      <w:pPr>
        <w:spacing w:line="246" w:lineRule="auto"/>
        <w:ind w:firstLine="708"/>
        <w:jc w:val="both"/>
        <w:rPr>
          <w:sz w:val="16"/>
          <w:szCs w:val="16"/>
        </w:rPr>
      </w:pPr>
    </w:p>
    <w:p w:rsidR="006C25BD" w:rsidRPr="007C781D" w:rsidRDefault="006C25BD" w:rsidP="006C25BD">
      <w:pPr>
        <w:ind w:firstLine="709"/>
        <w:jc w:val="both"/>
      </w:pPr>
      <w:r w:rsidRPr="007C781D">
        <w:rPr>
          <w:rFonts w:eastAsiaTheme="minorHAnsi"/>
          <w:lang w:eastAsia="en-US"/>
        </w:rPr>
        <w:t>На финансирование социально-культурной сферы за отчетный период использовано бюджетных сре</w:t>
      </w:r>
      <w:proofErr w:type="gramStart"/>
      <w:r w:rsidRPr="007C781D">
        <w:rPr>
          <w:rFonts w:eastAsiaTheme="minorHAnsi"/>
          <w:lang w:eastAsia="en-US"/>
        </w:rPr>
        <w:t>дств в с</w:t>
      </w:r>
      <w:proofErr w:type="gramEnd"/>
      <w:r w:rsidRPr="007C781D">
        <w:rPr>
          <w:rFonts w:eastAsiaTheme="minorHAnsi"/>
          <w:lang w:eastAsia="en-US"/>
        </w:rPr>
        <w:t xml:space="preserve">умме </w:t>
      </w:r>
      <w:r w:rsidR="007C17D6" w:rsidRPr="007C781D">
        <w:rPr>
          <w:rFonts w:eastAsiaTheme="minorHAnsi"/>
          <w:lang w:eastAsia="en-US"/>
        </w:rPr>
        <w:t>230880,7</w:t>
      </w:r>
      <w:r w:rsidRPr="007C781D">
        <w:rPr>
          <w:rFonts w:eastAsiaTheme="minorHAnsi"/>
          <w:lang w:eastAsia="en-US"/>
        </w:rPr>
        <w:t xml:space="preserve"> тыс.</w:t>
      </w:r>
      <w:r w:rsidR="00731EF0">
        <w:rPr>
          <w:rFonts w:eastAsiaTheme="minorHAnsi"/>
          <w:lang w:eastAsia="en-US"/>
        </w:rPr>
        <w:t xml:space="preserve"> </w:t>
      </w:r>
      <w:r w:rsidRPr="007C781D">
        <w:rPr>
          <w:rFonts w:eastAsiaTheme="minorHAnsi"/>
          <w:lang w:eastAsia="en-US"/>
        </w:rPr>
        <w:t>руб. или 8</w:t>
      </w:r>
      <w:r w:rsidR="007C17D6" w:rsidRPr="007C781D">
        <w:rPr>
          <w:rFonts w:eastAsiaTheme="minorHAnsi"/>
          <w:lang w:eastAsia="en-US"/>
        </w:rPr>
        <w:t>5</w:t>
      </w:r>
      <w:r w:rsidRPr="007C781D">
        <w:rPr>
          <w:rFonts w:eastAsiaTheme="minorHAnsi"/>
          <w:lang w:eastAsia="en-US"/>
        </w:rPr>
        <w:t>,</w:t>
      </w:r>
      <w:r w:rsidR="007C17D6" w:rsidRPr="007C781D">
        <w:rPr>
          <w:rFonts w:eastAsiaTheme="minorHAnsi"/>
          <w:lang w:eastAsia="en-US"/>
        </w:rPr>
        <w:t>2</w:t>
      </w:r>
      <w:r w:rsidRPr="007C781D">
        <w:rPr>
          <w:rFonts w:eastAsiaTheme="minorHAnsi"/>
          <w:lang w:eastAsia="en-US"/>
        </w:rPr>
        <w:t xml:space="preserve">%, </w:t>
      </w:r>
      <w:r w:rsidRPr="007C781D">
        <w:rPr>
          <w:rFonts w:eastAsia="Calibri"/>
          <w:lang w:eastAsia="en-US"/>
        </w:rPr>
        <w:t>с увеличением по сравнению с аналогичным периодом 201</w:t>
      </w:r>
      <w:r w:rsidR="007C17D6" w:rsidRPr="007C781D">
        <w:rPr>
          <w:rFonts w:eastAsia="Calibri"/>
          <w:lang w:eastAsia="en-US"/>
        </w:rPr>
        <w:t>9</w:t>
      </w:r>
      <w:r w:rsidRPr="007C781D">
        <w:rPr>
          <w:rFonts w:eastAsia="Calibri"/>
          <w:lang w:eastAsia="en-US"/>
        </w:rPr>
        <w:t xml:space="preserve"> года на </w:t>
      </w:r>
      <w:r w:rsidR="007C17D6" w:rsidRPr="00D201D2">
        <w:rPr>
          <w:rFonts w:eastAsia="Calibri"/>
          <w:b/>
          <w:lang w:eastAsia="en-US"/>
        </w:rPr>
        <w:t>40754,8</w:t>
      </w:r>
      <w:r w:rsidRPr="007C781D">
        <w:rPr>
          <w:rFonts w:eastAsia="Calibri"/>
          <w:lang w:eastAsia="en-US"/>
        </w:rPr>
        <w:t xml:space="preserve"> тыс.</w:t>
      </w:r>
      <w:r w:rsidR="00731EF0">
        <w:rPr>
          <w:rFonts w:eastAsia="Calibri"/>
          <w:lang w:eastAsia="en-US"/>
        </w:rPr>
        <w:t xml:space="preserve"> </w:t>
      </w:r>
      <w:r w:rsidRPr="007C781D">
        <w:rPr>
          <w:rFonts w:eastAsia="Calibri"/>
          <w:lang w:eastAsia="en-US"/>
        </w:rPr>
        <w:t>руб.</w:t>
      </w:r>
    </w:p>
    <w:p w:rsidR="00620AD7" w:rsidRPr="0089567E" w:rsidRDefault="00620AD7" w:rsidP="008629FE">
      <w:pPr>
        <w:ind w:firstLine="709"/>
        <w:jc w:val="both"/>
        <w:rPr>
          <w:bCs/>
          <w:color w:val="000000"/>
        </w:rPr>
      </w:pPr>
      <w:proofErr w:type="gramStart"/>
      <w:r w:rsidRPr="00994BAB">
        <w:rPr>
          <w:rFonts w:eastAsia="Calibri"/>
          <w:b/>
          <w:lang w:eastAsia="en-US"/>
        </w:rPr>
        <w:t>Ниже среднего</w:t>
      </w:r>
      <w:r w:rsidRPr="00620AD7">
        <w:rPr>
          <w:rFonts w:eastAsia="Calibri"/>
          <w:lang w:eastAsia="en-US"/>
        </w:rPr>
        <w:t xml:space="preserve"> исполнения наблюдается по пяти разделам, из них</w:t>
      </w:r>
      <w:r w:rsidR="00533C60">
        <w:rPr>
          <w:rFonts w:eastAsia="Calibri"/>
          <w:lang w:eastAsia="en-US"/>
        </w:rPr>
        <w:t xml:space="preserve"> </w:t>
      </w:r>
      <w:r w:rsidR="00BB4C33" w:rsidRPr="00527642">
        <w:rPr>
          <w:rFonts w:eastAsia="Calibri"/>
          <w:lang w:eastAsia="en-US"/>
        </w:rPr>
        <w:t>«Ж</w:t>
      </w:r>
      <w:r w:rsidR="008629FE" w:rsidRPr="00527642">
        <w:rPr>
          <w:color w:val="000000"/>
        </w:rPr>
        <w:t>илищно-коммунальное хозяйство</w:t>
      </w:r>
      <w:r w:rsidR="00BB4C33" w:rsidRPr="00527642">
        <w:rPr>
          <w:color w:val="000000"/>
        </w:rPr>
        <w:t xml:space="preserve">» - </w:t>
      </w:r>
      <w:r w:rsidR="007C17D6" w:rsidRPr="0089567E">
        <w:rPr>
          <w:b/>
          <w:color w:val="000000"/>
        </w:rPr>
        <w:t>5</w:t>
      </w:r>
      <w:r w:rsidR="008629FE" w:rsidRPr="0089567E">
        <w:rPr>
          <w:b/>
          <w:color w:val="000000"/>
        </w:rPr>
        <w:t>,</w:t>
      </w:r>
      <w:r w:rsidR="007C17D6" w:rsidRPr="0089567E">
        <w:rPr>
          <w:b/>
          <w:color w:val="000000"/>
        </w:rPr>
        <w:t>2</w:t>
      </w:r>
      <w:r w:rsidR="00BB4C33" w:rsidRPr="0089567E">
        <w:rPr>
          <w:b/>
          <w:iCs/>
          <w:color w:val="000000"/>
        </w:rPr>
        <w:t>%</w:t>
      </w:r>
      <w:r w:rsidR="0089567E">
        <w:rPr>
          <w:b/>
          <w:iCs/>
          <w:color w:val="000000"/>
        </w:rPr>
        <w:t xml:space="preserve"> </w:t>
      </w:r>
      <w:r w:rsidR="0089567E" w:rsidRPr="0089567E">
        <w:rPr>
          <w:iCs/>
          <w:color w:val="000000"/>
        </w:rPr>
        <w:t>(8743,9 тыс. руб.)</w:t>
      </w:r>
      <w:r w:rsidR="00533C60" w:rsidRPr="0089567E">
        <w:rPr>
          <w:iCs/>
          <w:color w:val="000000"/>
        </w:rPr>
        <w:t>,</w:t>
      </w:r>
      <w:r w:rsidR="00533C60">
        <w:rPr>
          <w:iCs/>
          <w:color w:val="000000"/>
        </w:rPr>
        <w:t xml:space="preserve"> </w:t>
      </w:r>
      <w:r w:rsidR="007C17D6">
        <w:rPr>
          <w:bCs/>
          <w:color w:val="000000"/>
        </w:rPr>
        <w:t xml:space="preserve">«Национальная экономика» - </w:t>
      </w:r>
      <w:r w:rsidR="007C17D6" w:rsidRPr="0089567E">
        <w:rPr>
          <w:b/>
          <w:bCs/>
          <w:color w:val="000000"/>
        </w:rPr>
        <w:t>10,9%</w:t>
      </w:r>
      <w:r w:rsidR="0089567E">
        <w:rPr>
          <w:b/>
          <w:bCs/>
          <w:color w:val="000000"/>
        </w:rPr>
        <w:t xml:space="preserve"> </w:t>
      </w:r>
      <w:r w:rsidR="0089567E" w:rsidRPr="0089567E">
        <w:rPr>
          <w:bCs/>
          <w:color w:val="000000"/>
        </w:rPr>
        <w:t>(3617,3 тыс. руб.)</w:t>
      </w:r>
      <w:r w:rsidR="007C17D6" w:rsidRPr="0089567E">
        <w:rPr>
          <w:bCs/>
          <w:color w:val="000000"/>
        </w:rPr>
        <w:t>,</w:t>
      </w:r>
      <w:r w:rsidR="00533C60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«Национальная оборона» - </w:t>
      </w:r>
      <w:r w:rsidRPr="0089567E">
        <w:rPr>
          <w:b/>
          <w:bCs/>
          <w:color w:val="000000"/>
        </w:rPr>
        <w:t>15%</w:t>
      </w:r>
      <w:r w:rsidR="0089567E">
        <w:rPr>
          <w:b/>
          <w:bCs/>
          <w:color w:val="000000"/>
        </w:rPr>
        <w:t xml:space="preserve"> </w:t>
      </w:r>
      <w:r w:rsidR="0089567E" w:rsidRPr="0089567E">
        <w:rPr>
          <w:bCs/>
          <w:color w:val="000000"/>
        </w:rPr>
        <w:t>(3,0 тыс. руб.)</w:t>
      </w:r>
      <w:r w:rsidRPr="0089567E">
        <w:rPr>
          <w:bCs/>
          <w:color w:val="000000"/>
        </w:rPr>
        <w:t>.</w:t>
      </w:r>
      <w:proofErr w:type="gramEnd"/>
    </w:p>
    <w:p w:rsidR="001E4762" w:rsidRDefault="001E4762" w:rsidP="00B520CD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За исключением раздела «Национальная экономика», исполнение расходов по отношению к 1 кварталу 2019 года по всем разделам увеличилось, в том числе</w:t>
      </w:r>
      <w:r w:rsidR="00533C60">
        <w:rPr>
          <w:rFonts w:eastAsia="SimSun"/>
          <w:lang w:eastAsia="zh-CN"/>
        </w:rPr>
        <w:t xml:space="preserve"> наибольшее</w:t>
      </w:r>
      <w:r w:rsidRPr="001E4762">
        <w:rPr>
          <w:rFonts w:eastAsia="SimSun"/>
          <w:lang w:eastAsia="zh-CN"/>
        </w:rPr>
        <w:t>:</w:t>
      </w:r>
    </w:p>
    <w:p w:rsidR="00533C60" w:rsidRDefault="00533C60" w:rsidP="003E7F4E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533C60">
        <w:rPr>
          <w:rFonts w:eastAsia="SimSun"/>
          <w:lang w:eastAsia="zh-CN"/>
        </w:rPr>
        <w:t xml:space="preserve">- «Социальная политика» - на 19236,6 </w:t>
      </w:r>
      <w:proofErr w:type="spellStart"/>
      <w:r w:rsidRPr="00533C60">
        <w:rPr>
          <w:rFonts w:eastAsia="SimSun"/>
          <w:lang w:eastAsia="zh-CN"/>
        </w:rPr>
        <w:t>тыс</w:t>
      </w:r>
      <w:proofErr w:type="gramStart"/>
      <w:r w:rsidRPr="00533C60">
        <w:rPr>
          <w:rFonts w:eastAsia="SimSun"/>
          <w:lang w:eastAsia="zh-CN"/>
        </w:rPr>
        <w:t>.р</w:t>
      </w:r>
      <w:proofErr w:type="gramEnd"/>
      <w:r w:rsidRPr="00533C60">
        <w:rPr>
          <w:rFonts w:eastAsia="SimSun"/>
          <w:lang w:eastAsia="zh-CN"/>
        </w:rPr>
        <w:t>уб</w:t>
      </w:r>
      <w:proofErr w:type="spellEnd"/>
      <w:r w:rsidRPr="00533C60">
        <w:rPr>
          <w:rFonts w:eastAsia="SimSun"/>
          <w:lang w:eastAsia="zh-CN"/>
        </w:rPr>
        <w:t>. или в 7,6 раза,</w:t>
      </w:r>
    </w:p>
    <w:p w:rsidR="00533C60" w:rsidRDefault="00533C60" w:rsidP="003E7F4E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-</w:t>
      </w:r>
      <w:r w:rsidRPr="00B520CD">
        <w:t xml:space="preserve">«Образование» – на </w:t>
      </w:r>
      <w:r>
        <w:t>15761,3</w:t>
      </w:r>
      <w:r w:rsidRPr="00B520CD">
        <w:rPr>
          <w:bCs/>
          <w:color w:val="000000"/>
        </w:rPr>
        <w:t xml:space="preserve"> </w:t>
      </w:r>
      <w:proofErr w:type="spellStart"/>
      <w:r w:rsidRPr="00B520CD">
        <w:rPr>
          <w:bCs/>
          <w:color w:val="000000"/>
        </w:rPr>
        <w:t>тыс</w:t>
      </w:r>
      <w:proofErr w:type="gramStart"/>
      <w:r w:rsidRPr="00B520CD">
        <w:rPr>
          <w:bCs/>
          <w:color w:val="000000"/>
        </w:rPr>
        <w:t>.р</w:t>
      </w:r>
      <w:proofErr w:type="gramEnd"/>
      <w:r w:rsidRPr="00B520CD">
        <w:rPr>
          <w:bCs/>
          <w:color w:val="000000"/>
        </w:rPr>
        <w:t>уб</w:t>
      </w:r>
      <w:proofErr w:type="spellEnd"/>
      <w:r w:rsidRPr="00B520CD">
        <w:rPr>
          <w:bCs/>
          <w:color w:val="000000"/>
        </w:rPr>
        <w:t xml:space="preserve">. или на </w:t>
      </w:r>
      <w:r>
        <w:rPr>
          <w:bCs/>
          <w:color w:val="000000"/>
        </w:rPr>
        <w:t>9,1</w:t>
      </w:r>
      <w:r w:rsidRPr="00B520CD">
        <w:t>%,</w:t>
      </w:r>
    </w:p>
    <w:p w:rsidR="00533C60" w:rsidRDefault="00533C60" w:rsidP="00533C60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  <w:r>
        <w:tab/>
        <w:t>-«Жилищно-коммунальное хозяйство» - на 5260,2 тыс. руб. или в 2,5 раза,</w:t>
      </w:r>
    </w:p>
    <w:p w:rsidR="00533C60" w:rsidRDefault="00533C60" w:rsidP="003E7F4E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-«Общегосударственные вопросы» - на 3927,1 тыс. руб. или на 19,4%,</w:t>
      </w:r>
    </w:p>
    <w:p w:rsidR="00533C60" w:rsidRDefault="00533C60" w:rsidP="00533C60">
      <w:pPr>
        <w:tabs>
          <w:tab w:val="left" w:pos="709"/>
          <w:tab w:val="left" w:pos="851"/>
        </w:tabs>
        <w:jc w:val="both"/>
      </w:pPr>
      <w:r>
        <w:tab/>
        <w:t>-«Культура и кинематография» - на 3680,3 тыс. руб. или на 33,2%.</w:t>
      </w:r>
    </w:p>
    <w:p w:rsidR="00533C60" w:rsidRDefault="00533C60" w:rsidP="003E7F4E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</w:p>
    <w:p w:rsidR="0078244D" w:rsidRPr="008213FC" w:rsidRDefault="00EE070C" w:rsidP="008072FC">
      <w:pPr>
        <w:pStyle w:val="a8"/>
        <w:spacing w:before="0" w:beforeAutospacing="0" w:after="0" w:afterAutospacing="0"/>
        <w:jc w:val="both"/>
      </w:pPr>
      <w:r w:rsidRPr="008213FC">
        <w:rPr>
          <w:sz w:val="28"/>
          <w:szCs w:val="28"/>
        </w:rPr>
        <w:t xml:space="preserve"> </w:t>
      </w:r>
      <w:r w:rsidR="008072FC" w:rsidRPr="008213FC">
        <w:rPr>
          <w:sz w:val="28"/>
          <w:szCs w:val="28"/>
        </w:rPr>
        <w:t xml:space="preserve">          </w:t>
      </w:r>
      <w:r w:rsidR="00814493" w:rsidRPr="008213FC">
        <w:t xml:space="preserve">Исполнение показателей расходной части бюджета Лесозаводского городского округа </w:t>
      </w:r>
      <w:r w:rsidR="001525B5" w:rsidRPr="008213FC">
        <w:t xml:space="preserve">за </w:t>
      </w:r>
      <w:r w:rsidR="008213FC">
        <w:t>1 квартал</w:t>
      </w:r>
      <w:r w:rsidR="001525B5" w:rsidRPr="008213FC">
        <w:t xml:space="preserve"> 20</w:t>
      </w:r>
      <w:r w:rsidR="0078244D" w:rsidRPr="008213FC">
        <w:t>20</w:t>
      </w:r>
      <w:r w:rsidR="001525B5" w:rsidRPr="008213FC">
        <w:t xml:space="preserve"> года </w:t>
      </w:r>
      <w:r w:rsidR="00814493" w:rsidRPr="008213FC">
        <w:t xml:space="preserve"> в разрезе источников </w:t>
      </w:r>
      <w:r w:rsidR="00A3267F" w:rsidRPr="008213FC">
        <w:t>финансирования</w:t>
      </w:r>
      <w:r w:rsidR="0078244D" w:rsidRPr="008213FC">
        <w:t xml:space="preserve"> представлено в таблице.</w:t>
      </w:r>
    </w:p>
    <w:p w:rsidR="00814493" w:rsidRPr="0078244D" w:rsidRDefault="00814493" w:rsidP="0078244D">
      <w:pPr>
        <w:pStyle w:val="a8"/>
        <w:spacing w:before="0" w:beforeAutospacing="0" w:after="0" w:afterAutospacing="0"/>
        <w:ind w:left="7080" w:firstLine="708"/>
        <w:jc w:val="both"/>
      </w:pPr>
      <w:r w:rsidRPr="0078244D">
        <w:t>(тыс. руб</w:t>
      </w:r>
      <w:r w:rsidR="00F93166" w:rsidRPr="0078244D">
        <w:t>.</w:t>
      </w:r>
      <w:r w:rsidR="0078244D">
        <w:t>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380"/>
        <w:gridCol w:w="993"/>
        <w:gridCol w:w="1275"/>
        <w:gridCol w:w="851"/>
        <w:gridCol w:w="1313"/>
      </w:tblGrid>
      <w:tr w:rsidR="005D68DA" w:rsidRPr="0078244D" w:rsidTr="005D68DA">
        <w:tc>
          <w:tcPr>
            <w:tcW w:w="4077" w:type="dxa"/>
            <w:vMerge w:val="restart"/>
            <w:shd w:val="clear" w:color="auto" w:fill="auto"/>
            <w:vAlign w:val="center"/>
          </w:tcPr>
          <w:p w:rsidR="005D68DA" w:rsidRPr="0078244D" w:rsidRDefault="005D68DA" w:rsidP="005D68DA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8244D">
              <w:rPr>
                <w:b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5D68DA" w:rsidRPr="0078244D" w:rsidRDefault="005D68DA" w:rsidP="005D68DA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8244D">
              <w:rPr>
                <w:b/>
                <w:sz w:val="20"/>
                <w:szCs w:val="20"/>
              </w:rPr>
              <w:t>Уточненный план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68DA" w:rsidRPr="0078244D" w:rsidRDefault="005D68DA" w:rsidP="005D68DA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8244D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:rsidR="005D68DA" w:rsidRPr="0078244D" w:rsidRDefault="005D68DA" w:rsidP="005D68DA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8244D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5D68DA" w:rsidRPr="0078244D" w:rsidTr="005D68DA">
        <w:trPr>
          <w:trHeight w:val="299"/>
        </w:trPr>
        <w:tc>
          <w:tcPr>
            <w:tcW w:w="4077" w:type="dxa"/>
            <w:vMerge/>
            <w:shd w:val="clear" w:color="auto" w:fill="auto"/>
            <w:vAlign w:val="center"/>
          </w:tcPr>
          <w:p w:rsidR="005D68DA" w:rsidRPr="0078244D" w:rsidRDefault="005D68DA" w:rsidP="005D68DA">
            <w:pPr>
              <w:spacing w:line="276" w:lineRule="auto"/>
              <w:jc w:val="center"/>
              <w:outlineLvl w:val="1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5D68DA" w:rsidRDefault="005D68DA" w:rsidP="005D68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D68DA" w:rsidRDefault="005D68DA" w:rsidP="005D68DA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доля, %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D68DA" w:rsidRDefault="005D68DA" w:rsidP="008213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D68DA" w:rsidRDefault="005D68DA" w:rsidP="008213FC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доля, %</w:t>
            </w:r>
          </w:p>
        </w:tc>
        <w:tc>
          <w:tcPr>
            <w:tcW w:w="1313" w:type="dxa"/>
            <w:vMerge/>
            <w:shd w:val="clear" w:color="auto" w:fill="auto"/>
            <w:vAlign w:val="bottom"/>
          </w:tcPr>
          <w:p w:rsidR="005D68DA" w:rsidRDefault="005D68DA" w:rsidP="005D68DA">
            <w:pPr>
              <w:jc w:val="center"/>
              <w:rPr>
                <w:color w:val="000000"/>
              </w:rPr>
            </w:pPr>
          </w:p>
        </w:tc>
      </w:tr>
      <w:tr w:rsidR="005D68DA" w:rsidRPr="0078244D" w:rsidTr="005D68DA">
        <w:trPr>
          <w:trHeight w:val="299"/>
        </w:trPr>
        <w:tc>
          <w:tcPr>
            <w:tcW w:w="4077" w:type="dxa"/>
            <w:shd w:val="clear" w:color="auto" w:fill="auto"/>
            <w:vAlign w:val="center"/>
          </w:tcPr>
          <w:p w:rsidR="005D68DA" w:rsidRPr="0078244D" w:rsidRDefault="005D68DA" w:rsidP="008D6EFB">
            <w:pPr>
              <w:spacing w:line="276" w:lineRule="auto"/>
              <w:jc w:val="both"/>
              <w:outlineLvl w:val="1"/>
            </w:pPr>
            <w:r w:rsidRPr="0078244D">
              <w:rPr>
                <w:sz w:val="22"/>
                <w:szCs w:val="22"/>
              </w:rPr>
              <w:t>Расходы за счет собственных  средств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5D68DA" w:rsidRPr="0078244D" w:rsidRDefault="005D68DA" w:rsidP="005D68D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571302,2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D68DA" w:rsidRDefault="005D68DA" w:rsidP="005D68D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D68DA" w:rsidRPr="0078244D" w:rsidRDefault="005D68DA" w:rsidP="005D68D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159473,4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D68DA" w:rsidRDefault="005D68DA" w:rsidP="005D68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58,8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5D68DA" w:rsidRPr="0078244D" w:rsidRDefault="005D68DA" w:rsidP="005D68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5D68DA" w:rsidRPr="0078244D" w:rsidTr="005D68DA">
        <w:trPr>
          <w:trHeight w:val="417"/>
        </w:trPr>
        <w:tc>
          <w:tcPr>
            <w:tcW w:w="4077" w:type="dxa"/>
            <w:shd w:val="clear" w:color="auto" w:fill="auto"/>
            <w:vAlign w:val="center"/>
          </w:tcPr>
          <w:p w:rsidR="005D68DA" w:rsidRPr="0078244D" w:rsidRDefault="005D68DA" w:rsidP="008D6EFB">
            <w:pPr>
              <w:spacing w:line="276" w:lineRule="auto"/>
              <w:jc w:val="both"/>
              <w:outlineLvl w:val="1"/>
            </w:pPr>
            <w:r w:rsidRPr="0078244D">
              <w:rPr>
                <w:sz w:val="22"/>
                <w:szCs w:val="22"/>
              </w:rPr>
              <w:t xml:space="preserve">Расходы за счет целевых  средств  бюджетов 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5D68DA" w:rsidRPr="0078244D" w:rsidRDefault="005D68DA" w:rsidP="005D68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675301,8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D68DA" w:rsidRDefault="005D68DA" w:rsidP="005D68D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D68DA" w:rsidRPr="0078244D" w:rsidRDefault="005D68DA" w:rsidP="005D68D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111532,1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D68DA" w:rsidRDefault="005D68DA" w:rsidP="005D68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5D68DA" w:rsidRPr="0078244D" w:rsidRDefault="005D68DA" w:rsidP="005D68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</w:tr>
      <w:tr w:rsidR="005D68DA" w:rsidRPr="0078244D" w:rsidTr="005D68DA">
        <w:trPr>
          <w:trHeight w:val="270"/>
        </w:trPr>
        <w:tc>
          <w:tcPr>
            <w:tcW w:w="4077" w:type="dxa"/>
            <w:shd w:val="clear" w:color="auto" w:fill="auto"/>
            <w:vAlign w:val="center"/>
          </w:tcPr>
          <w:p w:rsidR="005D68DA" w:rsidRPr="0078244D" w:rsidRDefault="005D68DA" w:rsidP="00F659D4">
            <w:pPr>
              <w:spacing w:line="276" w:lineRule="auto"/>
              <w:jc w:val="both"/>
              <w:outlineLvl w:val="1"/>
              <w:rPr>
                <w:b/>
              </w:rPr>
            </w:pPr>
            <w:r w:rsidRPr="0078244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5D68DA" w:rsidRPr="0078244D" w:rsidRDefault="005D68DA" w:rsidP="005D68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1246604,0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D68DA" w:rsidRDefault="005D68DA" w:rsidP="005D68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D68DA" w:rsidRPr="0078244D" w:rsidRDefault="005D68DA" w:rsidP="005D68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271005,5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D68DA" w:rsidRDefault="005D68DA" w:rsidP="005D68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5D68DA" w:rsidRPr="0078244D" w:rsidRDefault="005D68DA" w:rsidP="005D68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21,7</w:t>
            </w:r>
          </w:p>
        </w:tc>
      </w:tr>
    </w:tbl>
    <w:p w:rsidR="00B93CFC" w:rsidRPr="0078244D" w:rsidRDefault="00B93CFC" w:rsidP="00A43395">
      <w:pPr>
        <w:pStyle w:val="a8"/>
        <w:spacing w:before="0" w:beforeAutospacing="0" w:after="0" w:afterAutospacing="0"/>
        <w:jc w:val="both"/>
      </w:pPr>
    </w:p>
    <w:p w:rsidR="00814493" w:rsidRPr="0078244D" w:rsidRDefault="00C00F96" w:rsidP="00C00F96">
      <w:pPr>
        <w:ind w:firstLine="709"/>
        <w:jc w:val="both"/>
      </w:pPr>
      <w:r w:rsidRPr="0078244D">
        <w:t>Кассовые расходы</w:t>
      </w:r>
      <w:r w:rsidR="00814493" w:rsidRPr="0078244D">
        <w:t xml:space="preserve"> бюджета городского округа з</w:t>
      </w:r>
      <w:r w:rsidRPr="0078244D">
        <w:t>а 1 квартал  20</w:t>
      </w:r>
      <w:r w:rsidR="00A3267F">
        <w:t>20</w:t>
      </w:r>
      <w:r w:rsidR="001525B5" w:rsidRPr="0078244D">
        <w:t xml:space="preserve"> </w:t>
      </w:r>
      <w:r w:rsidRPr="0078244D">
        <w:t xml:space="preserve">года </w:t>
      </w:r>
      <w:r w:rsidR="00814493" w:rsidRPr="0078244D">
        <w:t>составили:</w:t>
      </w:r>
    </w:p>
    <w:p w:rsidR="00C00F96" w:rsidRPr="0078244D" w:rsidRDefault="00814493" w:rsidP="00C00F96">
      <w:pPr>
        <w:ind w:firstLine="709"/>
        <w:jc w:val="both"/>
      </w:pPr>
      <w:r w:rsidRPr="0078244D">
        <w:t xml:space="preserve">- </w:t>
      </w:r>
      <w:r w:rsidR="00C00F96" w:rsidRPr="0078244D">
        <w:t xml:space="preserve">за счет собственных </w:t>
      </w:r>
      <w:r w:rsidR="0089567E">
        <w:t>средств</w:t>
      </w:r>
      <w:r w:rsidR="00C00F96" w:rsidRPr="0078244D">
        <w:t xml:space="preserve"> </w:t>
      </w:r>
      <w:r w:rsidRPr="0078244D">
        <w:t xml:space="preserve">- </w:t>
      </w:r>
      <w:r w:rsidR="00A3267F" w:rsidRPr="00136F0F">
        <w:rPr>
          <w:b/>
        </w:rPr>
        <w:t>159473,4</w:t>
      </w:r>
      <w:r w:rsidR="00C00F96" w:rsidRPr="0078244D">
        <w:rPr>
          <w:i/>
        </w:rPr>
        <w:t xml:space="preserve"> </w:t>
      </w:r>
      <w:r w:rsidR="00C00F96" w:rsidRPr="0078244D">
        <w:t>тыс. руб. или</w:t>
      </w:r>
      <w:r w:rsidR="008D6EFB" w:rsidRPr="0078244D">
        <w:t xml:space="preserve"> </w:t>
      </w:r>
      <w:r w:rsidRPr="0078244D">
        <w:t>2</w:t>
      </w:r>
      <w:r w:rsidR="00A3267F">
        <w:t>7</w:t>
      </w:r>
      <w:r w:rsidR="001525B5" w:rsidRPr="0078244D">
        <w:t>,9</w:t>
      </w:r>
      <w:r w:rsidR="00C00F96" w:rsidRPr="0078244D">
        <w:t>%</w:t>
      </w:r>
      <w:r w:rsidR="00A3267F">
        <w:t xml:space="preserve"> от уточненного годового плана</w:t>
      </w:r>
      <w:r w:rsidRPr="0078244D">
        <w:t xml:space="preserve">, </w:t>
      </w:r>
      <w:r w:rsidRPr="0078244D">
        <w:rPr>
          <w:sz w:val="28"/>
          <w:szCs w:val="28"/>
        </w:rPr>
        <w:t xml:space="preserve"> </w:t>
      </w:r>
      <w:r w:rsidRPr="0078244D">
        <w:t xml:space="preserve">что на </w:t>
      </w:r>
      <w:r w:rsidR="00A3267F">
        <w:t>24695,4</w:t>
      </w:r>
      <w:r w:rsidRPr="0078244D">
        <w:t xml:space="preserve"> тыс. руб. или на </w:t>
      </w:r>
      <w:r w:rsidR="00A3267F">
        <w:t>18,3</w:t>
      </w:r>
      <w:r w:rsidRPr="0078244D">
        <w:t>% больше аналогичного показателя за 1 квартал  201</w:t>
      </w:r>
      <w:r w:rsidR="00A3267F">
        <w:t>9</w:t>
      </w:r>
      <w:r w:rsidRPr="0078244D">
        <w:t xml:space="preserve"> года (</w:t>
      </w:r>
      <w:r w:rsidR="00A3267F">
        <w:t>134778</w:t>
      </w:r>
      <w:r w:rsidRPr="0078244D">
        <w:t xml:space="preserve"> тыс. руб.);</w:t>
      </w:r>
    </w:p>
    <w:p w:rsidR="00C00F96" w:rsidRDefault="00814493" w:rsidP="00C00F96">
      <w:pPr>
        <w:ind w:firstLine="709"/>
        <w:jc w:val="both"/>
      </w:pPr>
      <w:r w:rsidRPr="0078244D">
        <w:t>-</w:t>
      </w:r>
      <w:r w:rsidR="00C00F96" w:rsidRPr="0078244D">
        <w:t xml:space="preserve"> за счет средств</w:t>
      </w:r>
      <w:r w:rsidR="00A3267F">
        <w:t>, передаваемых городскому округу</w:t>
      </w:r>
      <w:r w:rsidR="00C00F96" w:rsidRPr="0078244D">
        <w:t xml:space="preserve"> </w:t>
      </w:r>
      <w:r w:rsidR="00A3267F">
        <w:t>–</w:t>
      </w:r>
      <w:r w:rsidRPr="0078244D">
        <w:t xml:space="preserve"> </w:t>
      </w:r>
      <w:r w:rsidR="00A3267F" w:rsidRPr="00136F0F">
        <w:rPr>
          <w:b/>
        </w:rPr>
        <w:t>111532,1</w:t>
      </w:r>
      <w:r w:rsidR="00C00F96" w:rsidRPr="0078244D">
        <w:rPr>
          <w:b/>
        </w:rPr>
        <w:t xml:space="preserve"> </w:t>
      </w:r>
      <w:r w:rsidR="00C00F96" w:rsidRPr="0078244D">
        <w:t>тыс. руб.</w:t>
      </w:r>
      <w:r w:rsidR="008D6EFB" w:rsidRPr="0078244D">
        <w:t xml:space="preserve"> </w:t>
      </w:r>
      <w:r w:rsidR="00C00F96" w:rsidRPr="0078244D">
        <w:t xml:space="preserve">или </w:t>
      </w:r>
      <w:r w:rsidR="001525B5" w:rsidRPr="0078244D">
        <w:t>1</w:t>
      </w:r>
      <w:r w:rsidR="00A3267F">
        <w:t>6</w:t>
      </w:r>
      <w:r w:rsidR="001525B5" w:rsidRPr="0078244D">
        <w:t>,</w:t>
      </w:r>
      <w:r w:rsidR="00A3267F">
        <w:t>5</w:t>
      </w:r>
      <w:r w:rsidR="00C00F96" w:rsidRPr="0078244D">
        <w:t>%</w:t>
      </w:r>
      <w:r w:rsidR="00A3267F">
        <w:t xml:space="preserve"> от уточненного</w:t>
      </w:r>
      <w:r w:rsidR="001C3135">
        <w:t xml:space="preserve"> плана</w:t>
      </w:r>
      <w:r w:rsidR="00A3267F">
        <w:t>, что на 25565,1</w:t>
      </w:r>
      <w:r w:rsidRPr="0078244D">
        <w:t xml:space="preserve"> тыс. руб. или на </w:t>
      </w:r>
      <w:r w:rsidR="001525B5" w:rsidRPr="0078244D">
        <w:t>2</w:t>
      </w:r>
      <w:r w:rsidR="00A3267F">
        <w:t>9</w:t>
      </w:r>
      <w:r w:rsidR="001525B5" w:rsidRPr="0078244D">
        <w:t>,</w:t>
      </w:r>
      <w:r w:rsidR="00A3267F">
        <w:t>7</w:t>
      </w:r>
      <w:r w:rsidRPr="0078244D">
        <w:t xml:space="preserve">% </w:t>
      </w:r>
      <w:r w:rsidR="001525B5" w:rsidRPr="0078244D">
        <w:t>больше</w:t>
      </w:r>
      <w:r w:rsidRPr="0078244D">
        <w:t xml:space="preserve"> аналогичного показателя за 1 квартал  201</w:t>
      </w:r>
      <w:r w:rsidR="00A3267F">
        <w:t>9</w:t>
      </w:r>
      <w:r w:rsidRPr="0078244D">
        <w:t xml:space="preserve"> года (</w:t>
      </w:r>
      <w:r w:rsidR="00A3267F">
        <w:t>85967</w:t>
      </w:r>
      <w:r w:rsidRPr="0078244D">
        <w:t xml:space="preserve"> тыс. руб.).</w:t>
      </w:r>
    </w:p>
    <w:p w:rsidR="005D68DA" w:rsidRDefault="001C3135" w:rsidP="00ED0404">
      <w:pPr>
        <w:pStyle w:val="a3"/>
        <w:autoSpaceDE w:val="0"/>
        <w:autoSpaceDN w:val="0"/>
        <w:adjustRightInd w:val="0"/>
        <w:ind w:left="0"/>
        <w:jc w:val="both"/>
        <w:rPr>
          <w:spacing w:val="-4"/>
        </w:rPr>
      </w:pPr>
      <w:r>
        <w:rPr>
          <w:b/>
          <w:spacing w:val="-4"/>
        </w:rPr>
        <w:tab/>
      </w:r>
      <w:r w:rsidR="005D68DA">
        <w:rPr>
          <w:spacing w:val="-4"/>
        </w:rPr>
        <w:t xml:space="preserve">По плановым показателям доля расходов за счет собственных средств составила </w:t>
      </w:r>
      <w:r w:rsidR="005D68DA" w:rsidRPr="00136F0F">
        <w:rPr>
          <w:b/>
          <w:spacing w:val="-4"/>
        </w:rPr>
        <w:t>45,8%,</w:t>
      </w:r>
      <w:r w:rsidR="005D68DA">
        <w:rPr>
          <w:spacing w:val="-4"/>
        </w:rPr>
        <w:t xml:space="preserve"> за счет целевых средств – </w:t>
      </w:r>
      <w:r w:rsidR="005D68DA" w:rsidRPr="00136F0F">
        <w:rPr>
          <w:b/>
          <w:spacing w:val="-4"/>
        </w:rPr>
        <w:t>54,2%.</w:t>
      </w:r>
      <w:r w:rsidR="005D68DA">
        <w:rPr>
          <w:spacing w:val="-4"/>
        </w:rPr>
        <w:t xml:space="preserve"> </w:t>
      </w:r>
    </w:p>
    <w:p w:rsidR="00ED0404" w:rsidRDefault="005D68DA" w:rsidP="005D68DA">
      <w:pPr>
        <w:pStyle w:val="a3"/>
        <w:autoSpaceDE w:val="0"/>
        <w:autoSpaceDN w:val="0"/>
        <w:adjustRightInd w:val="0"/>
        <w:ind w:left="0" w:firstLine="708"/>
        <w:jc w:val="both"/>
        <w:rPr>
          <w:spacing w:val="-4"/>
        </w:rPr>
      </w:pPr>
      <w:r>
        <w:rPr>
          <w:spacing w:val="-4"/>
        </w:rPr>
        <w:t>Д</w:t>
      </w:r>
      <w:r w:rsidR="001C3135" w:rsidRPr="00515F78">
        <w:rPr>
          <w:spacing w:val="-4"/>
        </w:rPr>
        <w:t xml:space="preserve">оля </w:t>
      </w:r>
      <w:r>
        <w:rPr>
          <w:spacing w:val="-4"/>
        </w:rPr>
        <w:t xml:space="preserve">исполненных </w:t>
      </w:r>
      <w:r w:rsidR="001C3135" w:rsidRPr="00515F78">
        <w:rPr>
          <w:spacing w:val="-4"/>
        </w:rPr>
        <w:t xml:space="preserve">расходов за счет собственных средств составила </w:t>
      </w:r>
      <w:r w:rsidR="001C3135" w:rsidRPr="00136F0F">
        <w:rPr>
          <w:b/>
          <w:spacing w:val="-4"/>
        </w:rPr>
        <w:t>58,8%</w:t>
      </w:r>
      <w:r w:rsidRPr="00136F0F">
        <w:rPr>
          <w:b/>
          <w:spacing w:val="-4"/>
        </w:rPr>
        <w:t>,</w:t>
      </w:r>
      <w:r>
        <w:rPr>
          <w:spacing w:val="-4"/>
        </w:rPr>
        <w:t xml:space="preserve"> за счет целевых средств – </w:t>
      </w:r>
      <w:r w:rsidRPr="00136F0F">
        <w:rPr>
          <w:b/>
          <w:spacing w:val="-4"/>
        </w:rPr>
        <w:t>41,2%.</w:t>
      </w:r>
    </w:p>
    <w:p w:rsidR="00002FA1" w:rsidRDefault="00002FA1" w:rsidP="005D68DA">
      <w:pPr>
        <w:pStyle w:val="a3"/>
        <w:autoSpaceDE w:val="0"/>
        <w:autoSpaceDN w:val="0"/>
        <w:adjustRightInd w:val="0"/>
        <w:ind w:left="0" w:firstLine="708"/>
        <w:jc w:val="both"/>
        <w:rPr>
          <w:spacing w:val="-4"/>
        </w:rPr>
      </w:pPr>
      <w:r>
        <w:rPr>
          <w:spacing w:val="-4"/>
        </w:rPr>
        <w:t xml:space="preserve">В соответствии с </w:t>
      </w:r>
      <w:r w:rsidR="00747343">
        <w:rPr>
          <w:spacing w:val="-4"/>
        </w:rPr>
        <w:t>решением Думы Лесозаводского городского округа от 30.05.2020 №90 «О выделении средств бюджета Лесозаводского городского округа на выполнение наказов избирателей в очередном финансовом году и плановом периоде» определен размер средств бюджета на выполнение наказов избирателей в 2020 году в общей сумме 10500 тыс. руб.</w:t>
      </w:r>
    </w:p>
    <w:p w:rsidR="00002FA1" w:rsidRPr="00515F78" w:rsidRDefault="00002FA1" w:rsidP="005D68DA">
      <w:pPr>
        <w:pStyle w:val="a3"/>
        <w:autoSpaceDE w:val="0"/>
        <w:autoSpaceDN w:val="0"/>
        <w:adjustRightInd w:val="0"/>
        <w:ind w:left="0" w:firstLine="708"/>
        <w:jc w:val="both"/>
        <w:rPr>
          <w:spacing w:val="-4"/>
        </w:rPr>
      </w:pPr>
      <w:proofErr w:type="gramStart"/>
      <w:r>
        <w:rPr>
          <w:spacing w:val="-4"/>
        </w:rPr>
        <w:t xml:space="preserve">Согласно </w:t>
      </w:r>
      <w:r w:rsidR="00747343">
        <w:rPr>
          <w:spacing w:val="-4"/>
        </w:rPr>
        <w:t>О</w:t>
      </w:r>
      <w:r>
        <w:rPr>
          <w:spacing w:val="-4"/>
        </w:rPr>
        <w:t>тчета</w:t>
      </w:r>
      <w:proofErr w:type="gramEnd"/>
      <w:r>
        <w:rPr>
          <w:spacing w:val="-4"/>
        </w:rPr>
        <w:t xml:space="preserve"> об исполнении бюджетных ассигнований на выполнение наказов избирателей </w:t>
      </w:r>
      <w:r w:rsidR="00747343">
        <w:rPr>
          <w:spacing w:val="-4"/>
        </w:rPr>
        <w:t>в</w:t>
      </w:r>
      <w:r>
        <w:rPr>
          <w:spacing w:val="-4"/>
        </w:rPr>
        <w:t xml:space="preserve"> 1 квартал</w:t>
      </w:r>
      <w:r w:rsidR="00747343">
        <w:rPr>
          <w:spacing w:val="-4"/>
        </w:rPr>
        <w:t>е</w:t>
      </w:r>
      <w:r>
        <w:rPr>
          <w:spacing w:val="-4"/>
        </w:rPr>
        <w:t xml:space="preserve"> 2020 года кассовые расходы </w:t>
      </w:r>
      <w:r w:rsidR="00747343">
        <w:rPr>
          <w:spacing w:val="-4"/>
        </w:rPr>
        <w:t xml:space="preserve">на выполнение наказов избирателей </w:t>
      </w:r>
      <w:r>
        <w:rPr>
          <w:spacing w:val="-4"/>
        </w:rPr>
        <w:t xml:space="preserve">не осуществлялись. </w:t>
      </w:r>
    </w:p>
    <w:p w:rsidR="001C3135" w:rsidRPr="00BC22A1" w:rsidRDefault="001C3135" w:rsidP="00ED0404">
      <w:pPr>
        <w:pStyle w:val="a3"/>
        <w:autoSpaceDE w:val="0"/>
        <w:autoSpaceDN w:val="0"/>
        <w:adjustRightInd w:val="0"/>
        <w:ind w:left="0"/>
        <w:jc w:val="both"/>
        <w:rPr>
          <w:b/>
          <w:spacing w:val="-4"/>
        </w:rPr>
      </w:pPr>
    </w:p>
    <w:p w:rsidR="00406573" w:rsidRPr="00A60C75" w:rsidRDefault="00A60C75" w:rsidP="00A60C75">
      <w:pPr>
        <w:autoSpaceDE w:val="0"/>
        <w:autoSpaceDN w:val="0"/>
        <w:adjustRightInd w:val="0"/>
        <w:jc w:val="both"/>
        <w:rPr>
          <w:b/>
          <w:color w:val="000000"/>
          <w:lang w:eastAsia="en-US"/>
        </w:rPr>
      </w:pPr>
      <w:r>
        <w:rPr>
          <w:b/>
        </w:rPr>
        <w:t xml:space="preserve">                  </w:t>
      </w:r>
      <w:r w:rsidR="00176D10" w:rsidRPr="00A60C75">
        <w:rPr>
          <w:b/>
        </w:rPr>
        <w:t xml:space="preserve">4. </w:t>
      </w:r>
      <w:r w:rsidR="00BC22A1" w:rsidRPr="00A60C75">
        <w:rPr>
          <w:b/>
        </w:rPr>
        <w:t xml:space="preserve"> </w:t>
      </w:r>
      <w:r w:rsidRPr="00A60C75">
        <w:rPr>
          <w:b/>
        </w:rPr>
        <w:t>И</w:t>
      </w:r>
      <w:r w:rsidR="00406573" w:rsidRPr="00A60C75">
        <w:rPr>
          <w:b/>
        </w:rPr>
        <w:t>сполнени</w:t>
      </w:r>
      <w:r w:rsidRPr="00A60C75">
        <w:rPr>
          <w:b/>
        </w:rPr>
        <w:t>е</w:t>
      </w:r>
      <w:r w:rsidR="00406573" w:rsidRPr="00A60C75">
        <w:rPr>
          <w:b/>
        </w:rPr>
        <w:t xml:space="preserve"> муниципальных программ</w:t>
      </w:r>
      <w:r w:rsidRPr="00A60C75">
        <w:rPr>
          <w:color w:val="000000"/>
          <w:lang w:eastAsia="en-US"/>
        </w:rPr>
        <w:t xml:space="preserve"> </w:t>
      </w:r>
      <w:r w:rsidRPr="00A60C75">
        <w:rPr>
          <w:b/>
          <w:color w:val="000000"/>
          <w:lang w:eastAsia="en-US"/>
        </w:rPr>
        <w:t>и непрограммных расходов</w:t>
      </w:r>
    </w:p>
    <w:p w:rsidR="006132E4" w:rsidRDefault="006132E4" w:rsidP="00C64F59">
      <w:pPr>
        <w:widowControl w:val="0"/>
        <w:suppressAutoHyphens/>
        <w:autoSpaceDE w:val="0"/>
        <w:ind w:firstLine="709"/>
        <w:jc w:val="both"/>
        <w:rPr>
          <w:bCs/>
          <w:highlight w:val="yellow"/>
        </w:rPr>
      </w:pPr>
    </w:p>
    <w:p w:rsidR="00AC7BE3" w:rsidRDefault="00AC7BE3" w:rsidP="00AC7BE3">
      <w:pPr>
        <w:ind w:firstLine="708"/>
        <w:jc w:val="both"/>
        <w:rPr>
          <w:rFonts w:eastAsia="Calibri"/>
          <w:lang w:eastAsia="en-US"/>
        </w:rPr>
      </w:pPr>
      <w:r w:rsidRPr="007C781D">
        <w:rPr>
          <w:rFonts w:eastAsia="Calibri"/>
          <w:lang w:eastAsia="en-US"/>
        </w:rPr>
        <w:t>На реализацию мероприятий муниципальны</w:t>
      </w:r>
      <w:r w:rsidR="00731EF0">
        <w:rPr>
          <w:rFonts w:eastAsia="Calibri"/>
          <w:lang w:eastAsia="en-US"/>
        </w:rPr>
        <w:t>х</w:t>
      </w:r>
      <w:r w:rsidRPr="007C781D">
        <w:rPr>
          <w:rFonts w:eastAsia="Calibri"/>
          <w:lang w:eastAsia="en-US"/>
        </w:rPr>
        <w:t xml:space="preserve"> программ на 20</w:t>
      </w:r>
      <w:r w:rsidR="007C781D" w:rsidRPr="007C781D">
        <w:rPr>
          <w:rFonts w:eastAsia="Calibri"/>
          <w:lang w:eastAsia="en-US"/>
        </w:rPr>
        <w:t>20</w:t>
      </w:r>
      <w:r w:rsidRPr="007C781D">
        <w:rPr>
          <w:rFonts w:eastAsia="Calibri"/>
          <w:lang w:eastAsia="en-US"/>
        </w:rPr>
        <w:t xml:space="preserve"> год предусмотрены бюджетные ассигнования в общей сумме </w:t>
      </w:r>
      <w:r w:rsidR="007C781D" w:rsidRPr="007C781D">
        <w:rPr>
          <w:rFonts w:eastAsia="Calibri"/>
          <w:lang w:eastAsia="en-US"/>
        </w:rPr>
        <w:t>1028320,7</w:t>
      </w:r>
      <w:r w:rsidR="00731EF0">
        <w:rPr>
          <w:rFonts w:eastAsia="Calibri"/>
          <w:lang w:eastAsia="en-US"/>
        </w:rPr>
        <w:t xml:space="preserve"> </w:t>
      </w:r>
      <w:r w:rsidRPr="007C781D">
        <w:rPr>
          <w:rFonts w:eastAsia="Calibri"/>
          <w:lang w:eastAsia="en-US"/>
        </w:rPr>
        <w:t>тыс.</w:t>
      </w:r>
      <w:r w:rsidR="00731EF0">
        <w:rPr>
          <w:rFonts w:eastAsia="Calibri"/>
          <w:lang w:eastAsia="en-US"/>
        </w:rPr>
        <w:t xml:space="preserve"> </w:t>
      </w:r>
      <w:r w:rsidRPr="007C781D">
        <w:rPr>
          <w:rFonts w:eastAsia="Calibri"/>
          <w:lang w:eastAsia="en-US"/>
        </w:rPr>
        <w:t xml:space="preserve">руб. Расходы исполнены в сумме </w:t>
      </w:r>
      <w:r w:rsidR="007C781D" w:rsidRPr="007C781D">
        <w:rPr>
          <w:rFonts w:eastAsia="Calibri"/>
          <w:lang w:eastAsia="en-US"/>
        </w:rPr>
        <w:t>224281,9</w:t>
      </w:r>
      <w:r w:rsidRPr="007C781D">
        <w:rPr>
          <w:rFonts w:eastAsia="Calibri"/>
          <w:lang w:eastAsia="en-US"/>
        </w:rPr>
        <w:t xml:space="preserve">тыс. руб. или на </w:t>
      </w:r>
      <w:r w:rsidR="007C781D" w:rsidRPr="007C781D">
        <w:rPr>
          <w:rFonts w:eastAsia="Calibri"/>
          <w:lang w:eastAsia="en-US"/>
        </w:rPr>
        <w:t>21</w:t>
      </w:r>
      <w:r w:rsidR="00C64F59" w:rsidRPr="007C781D">
        <w:rPr>
          <w:rFonts w:eastAsia="Calibri"/>
          <w:lang w:eastAsia="en-US"/>
        </w:rPr>
        <w:t>,</w:t>
      </w:r>
      <w:r w:rsidR="007C781D" w:rsidRPr="007C781D">
        <w:rPr>
          <w:rFonts w:eastAsia="Calibri"/>
          <w:lang w:eastAsia="en-US"/>
        </w:rPr>
        <w:t>8</w:t>
      </w:r>
      <w:r w:rsidR="00C64F59" w:rsidRPr="007C781D">
        <w:rPr>
          <w:rFonts w:eastAsia="Calibri"/>
          <w:lang w:eastAsia="en-US"/>
        </w:rPr>
        <w:t>%.</w:t>
      </w:r>
    </w:p>
    <w:p w:rsidR="0066160C" w:rsidRDefault="0066160C" w:rsidP="00AC7BE3">
      <w:pPr>
        <w:ind w:firstLine="708"/>
        <w:jc w:val="both"/>
        <w:rPr>
          <w:rFonts w:eastAsia="Calibri"/>
          <w:lang w:eastAsia="en-US"/>
        </w:rPr>
      </w:pPr>
      <w:r w:rsidRPr="0066160C">
        <w:rPr>
          <w:rFonts w:eastAsia="Calibri"/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 на 20</w:t>
      </w:r>
      <w:r>
        <w:rPr>
          <w:rFonts w:eastAsia="Calibri"/>
          <w:lang w:eastAsia="en-US"/>
        </w:rPr>
        <w:t>20</w:t>
      </w:r>
      <w:r w:rsidRPr="0066160C">
        <w:rPr>
          <w:rFonts w:eastAsia="Calibri"/>
          <w:lang w:eastAsia="en-US"/>
        </w:rPr>
        <w:t xml:space="preserve"> год уточненные бюджетные ассигнования предусмотрены в сумме </w:t>
      </w:r>
      <w:r>
        <w:rPr>
          <w:rFonts w:eastAsia="Calibri"/>
          <w:lang w:eastAsia="en-US"/>
        </w:rPr>
        <w:t>218283,3</w:t>
      </w:r>
      <w:r w:rsidRPr="0066160C">
        <w:rPr>
          <w:rFonts w:eastAsia="Calibri"/>
          <w:lang w:eastAsia="en-US"/>
        </w:rPr>
        <w:t xml:space="preserve"> тыс.</w:t>
      </w:r>
      <w:r w:rsidR="0089567E">
        <w:rPr>
          <w:rFonts w:eastAsia="Calibri"/>
          <w:lang w:eastAsia="en-US"/>
        </w:rPr>
        <w:t xml:space="preserve"> </w:t>
      </w:r>
      <w:r w:rsidRPr="0066160C">
        <w:rPr>
          <w:rFonts w:eastAsia="Calibri"/>
          <w:lang w:eastAsia="en-US"/>
        </w:rPr>
        <w:t>руб. Непрограмм</w:t>
      </w:r>
      <w:r>
        <w:rPr>
          <w:rFonts w:eastAsia="Calibri"/>
          <w:lang w:eastAsia="en-US"/>
        </w:rPr>
        <w:t>ные расходы исполнены в сумме 46723,6</w:t>
      </w:r>
      <w:r w:rsidRPr="0066160C">
        <w:rPr>
          <w:rFonts w:eastAsia="Calibri"/>
          <w:lang w:eastAsia="en-US"/>
        </w:rPr>
        <w:t xml:space="preserve"> тыс. руб. или 2</w:t>
      </w:r>
      <w:r>
        <w:rPr>
          <w:rFonts w:eastAsia="Calibri"/>
          <w:lang w:eastAsia="en-US"/>
        </w:rPr>
        <w:t>1</w:t>
      </w:r>
      <w:r w:rsidRPr="0066160C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>4</w:t>
      </w:r>
      <w:r w:rsidRPr="0066160C">
        <w:rPr>
          <w:rFonts w:eastAsia="Calibri"/>
          <w:lang w:eastAsia="en-US"/>
        </w:rPr>
        <w:t>% от уточненного плана.</w:t>
      </w:r>
    </w:p>
    <w:p w:rsidR="0066160C" w:rsidRDefault="0066160C" w:rsidP="00AC7BE3">
      <w:pPr>
        <w:ind w:firstLine="708"/>
        <w:jc w:val="both"/>
        <w:rPr>
          <w:rFonts w:eastAsia="Calibri"/>
          <w:lang w:eastAsia="en-US"/>
        </w:rPr>
      </w:pPr>
      <w:r w:rsidRPr="0066160C">
        <w:rPr>
          <w:rFonts w:eastAsia="Calibri"/>
          <w:lang w:eastAsia="en-US"/>
        </w:rPr>
        <w:t>Удельный вес исполнения программных расходов составил 82,8%, доля непро</w:t>
      </w:r>
      <w:r w:rsidR="0089567E">
        <w:rPr>
          <w:rFonts w:eastAsia="Calibri"/>
          <w:lang w:eastAsia="en-US"/>
        </w:rPr>
        <w:t>граммных расходов – 17,2%.</w:t>
      </w:r>
    </w:p>
    <w:p w:rsidR="00815D4B" w:rsidRDefault="00A60C75" w:rsidP="000E04EF">
      <w:pPr>
        <w:ind w:firstLine="708"/>
        <w:jc w:val="both"/>
        <w:rPr>
          <w:color w:val="000000"/>
          <w:lang w:eastAsia="en-US"/>
        </w:rPr>
      </w:pPr>
      <w:r w:rsidRPr="007C781D">
        <w:rPr>
          <w:color w:val="000000"/>
          <w:lang w:eastAsia="en-US"/>
        </w:rPr>
        <w:t xml:space="preserve">Анализ исполнения муниципальных программ и непрограммных расходов за </w:t>
      </w:r>
      <w:r w:rsidR="00410E85" w:rsidRPr="007C781D">
        <w:rPr>
          <w:color w:val="000000"/>
          <w:lang w:eastAsia="en-US"/>
        </w:rPr>
        <w:t xml:space="preserve">1 квартал </w:t>
      </w:r>
      <w:r w:rsidRPr="007C781D">
        <w:rPr>
          <w:color w:val="000000"/>
          <w:lang w:eastAsia="en-US"/>
        </w:rPr>
        <w:t>20</w:t>
      </w:r>
      <w:r w:rsidR="00065D5E" w:rsidRPr="007C781D">
        <w:rPr>
          <w:color w:val="000000"/>
          <w:lang w:eastAsia="en-US"/>
        </w:rPr>
        <w:t>20</w:t>
      </w:r>
      <w:r w:rsidRPr="007C781D">
        <w:rPr>
          <w:color w:val="000000"/>
          <w:lang w:eastAsia="en-US"/>
        </w:rPr>
        <w:t xml:space="preserve"> год</w:t>
      </w:r>
      <w:r w:rsidR="00410E85" w:rsidRPr="007C781D">
        <w:rPr>
          <w:color w:val="000000"/>
          <w:lang w:eastAsia="en-US"/>
        </w:rPr>
        <w:t>а</w:t>
      </w:r>
      <w:r w:rsidRPr="007C781D">
        <w:rPr>
          <w:color w:val="000000"/>
          <w:lang w:eastAsia="en-US"/>
        </w:rPr>
        <w:t xml:space="preserve"> приведен в таблице</w:t>
      </w:r>
      <w:r w:rsidR="00815D4B">
        <w:rPr>
          <w:color w:val="000000"/>
          <w:lang w:eastAsia="en-US"/>
        </w:rPr>
        <w:t>.</w:t>
      </w:r>
    </w:p>
    <w:p w:rsidR="00410E85" w:rsidRPr="00A60C75" w:rsidRDefault="00815D4B" w:rsidP="000E04EF">
      <w:pPr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15"/>
        <w:gridCol w:w="1115"/>
        <w:gridCol w:w="19"/>
        <w:gridCol w:w="869"/>
        <w:gridCol w:w="1135"/>
        <w:gridCol w:w="1079"/>
        <w:gridCol w:w="905"/>
      </w:tblGrid>
      <w:tr w:rsidR="00180AF3" w:rsidRPr="00A60C75" w:rsidTr="00180AF3">
        <w:trPr>
          <w:trHeight w:val="171"/>
        </w:trPr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180AF3" w:rsidRPr="00A60C75" w:rsidRDefault="00180AF3" w:rsidP="00A60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C75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4253" w:type="dxa"/>
            <w:gridSpan w:val="5"/>
            <w:shd w:val="clear" w:color="auto" w:fill="auto"/>
            <w:noWrap/>
            <w:hideMark/>
          </w:tcPr>
          <w:p w:rsidR="00180AF3" w:rsidRPr="00A60C75" w:rsidRDefault="00180AF3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4" w:type="dxa"/>
            <w:gridSpan w:val="2"/>
          </w:tcPr>
          <w:p w:rsidR="00180AF3" w:rsidRPr="00A60C75" w:rsidRDefault="00180AF3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180AF3" w:rsidRPr="00A60C75" w:rsidTr="00180AF3">
        <w:trPr>
          <w:trHeight w:val="47"/>
        </w:trPr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AF3" w:rsidRPr="00A60C75" w:rsidRDefault="00180AF3" w:rsidP="00A60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80AF3" w:rsidRPr="00A60C75" w:rsidRDefault="00180AF3" w:rsidP="007B27A2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Уточненный план на 2019 год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:rsidR="00180AF3" w:rsidRPr="00A60C75" w:rsidRDefault="00180AF3" w:rsidP="007B27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Факт за 1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2020 года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AF3" w:rsidRPr="00A60C75" w:rsidRDefault="00180AF3" w:rsidP="007B27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исполне-ния</w:t>
            </w:r>
            <w:proofErr w:type="spellEnd"/>
            <w:proofErr w:type="gram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80AF3" w:rsidRPr="00A60C75" w:rsidRDefault="00180AF3" w:rsidP="007B27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Факт за 1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2019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180AF3" w:rsidRPr="00A60C75" w:rsidRDefault="00180AF3" w:rsidP="007B27A2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180AF3" w:rsidRDefault="00180AF3" w:rsidP="007B27A2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80AF3" w:rsidRPr="00A60C75" w:rsidTr="004A224C">
        <w:trPr>
          <w:trHeight w:val="181"/>
        </w:trPr>
        <w:tc>
          <w:tcPr>
            <w:tcW w:w="3686" w:type="dxa"/>
            <w:shd w:val="clear" w:color="auto" w:fill="auto"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Развитие образования Л</w:t>
            </w:r>
            <w:r w:rsidR="004A224C"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679405,9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173904,9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25,6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158779,3</w:t>
            </w:r>
          </w:p>
        </w:tc>
        <w:tc>
          <w:tcPr>
            <w:tcW w:w="1079" w:type="dxa"/>
            <w:vAlign w:val="bottom"/>
          </w:tcPr>
          <w:p w:rsidR="00180AF3" w:rsidRDefault="00180AF3" w:rsidP="006132E4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+15125,6</w:t>
            </w:r>
          </w:p>
        </w:tc>
        <w:tc>
          <w:tcPr>
            <w:tcW w:w="905" w:type="dxa"/>
            <w:vAlign w:val="bottom"/>
          </w:tcPr>
          <w:p w:rsidR="00180AF3" w:rsidRDefault="00180AF3" w:rsidP="00362B78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</w:t>
            </w:r>
          </w:p>
        </w:tc>
      </w:tr>
      <w:tr w:rsidR="00180AF3" w:rsidRPr="00A60C75" w:rsidTr="00362B78">
        <w:trPr>
          <w:trHeight w:val="483"/>
        </w:trPr>
        <w:tc>
          <w:tcPr>
            <w:tcW w:w="3686" w:type="dxa"/>
            <w:shd w:val="clear" w:color="auto" w:fill="auto"/>
          </w:tcPr>
          <w:p w:rsidR="00180AF3" w:rsidRPr="00A60C75" w:rsidRDefault="00180AF3" w:rsidP="007B27A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60C75">
              <w:rPr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A60C75">
              <w:rPr>
                <w:color w:val="000000"/>
                <w:sz w:val="20"/>
                <w:szCs w:val="20"/>
              </w:rPr>
              <w:t>, развитие системы газоснабжения в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30735,5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109,9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0,4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330,4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-220,5</w:t>
            </w:r>
          </w:p>
        </w:tc>
        <w:tc>
          <w:tcPr>
            <w:tcW w:w="905" w:type="dxa"/>
            <w:vAlign w:val="bottom"/>
          </w:tcPr>
          <w:p w:rsidR="00180AF3" w:rsidRDefault="00180AF3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</w:tr>
      <w:tr w:rsidR="00180AF3" w:rsidRPr="00A60C75" w:rsidTr="00362B78">
        <w:trPr>
          <w:trHeight w:val="645"/>
        </w:trPr>
        <w:tc>
          <w:tcPr>
            <w:tcW w:w="3686" w:type="dxa"/>
            <w:shd w:val="clear" w:color="auto" w:fill="auto"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 xml:space="preserve">Обеспечение доступными и качественными услугами жилищно-коммунального комплекса населения 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27244,9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3475,9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12,8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2068,7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+1407,2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168,0</w:t>
            </w:r>
          </w:p>
        </w:tc>
      </w:tr>
      <w:tr w:rsidR="00180AF3" w:rsidRPr="00A60C75" w:rsidTr="00362B78">
        <w:trPr>
          <w:trHeight w:val="476"/>
        </w:trPr>
        <w:tc>
          <w:tcPr>
            <w:tcW w:w="3686" w:type="dxa"/>
            <w:shd w:val="clear" w:color="auto" w:fill="auto"/>
          </w:tcPr>
          <w:p w:rsidR="00180AF3" w:rsidRPr="00A60C75" w:rsidRDefault="00180AF3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Сохранение и развитие культуры  на т</w:t>
            </w:r>
            <w:r>
              <w:rPr>
                <w:color w:val="000000"/>
                <w:sz w:val="20"/>
                <w:szCs w:val="20"/>
              </w:rPr>
              <w:t>ерритории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70018,8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20194,4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28,8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16064,7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+4129,7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125,7</w:t>
            </w:r>
          </w:p>
        </w:tc>
      </w:tr>
      <w:tr w:rsidR="00180AF3" w:rsidRPr="00A60C75" w:rsidTr="00362B78">
        <w:trPr>
          <w:trHeight w:val="668"/>
        </w:trPr>
        <w:tc>
          <w:tcPr>
            <w:tcW w:w="3686" w:type="dxa"/>
            <w:shd w:val="clear" w:color="auto" w:fill="auto"/>
            <w:hideMark/>
          </w:tcPr>
          <w:p w:rsidR="00180AF3" w:rsidRPr="00A60C75" w:rsidRDefault="00180AF3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 xml:space="preserve">Обеспечение доступным и качественным жильем отдельных категорий граждан и развитие </w:t>
            </w:r>
            <w:proofErr w:type="spellStart"/>
            <w:r w:rsidRPr="00A60C75">
              <w:rPr>
                <w:color w:val="000000"/>
                <w:sz w:val="20"/>
                <w:szCs w:val="20"/>
              </w:rPr>
              <w:t>жил</w:t>
            </w:r>
            <w:proofErr w:type="gramStart"/>
            <w:r w:rsidRPr="00A60C75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60C75">
              <w:rPr>
                <w:color w:val="000000"/>
                <w:sz w:val="20"/>
                <w:szCs w:val="20"/>
              </w:rPr>
              <w:t>троительства</w:t>
            </w:r>
            <w:proofErr w:type="spellEnd"/>
            <w:r w:rsidRPr="00A60C75">
              <w:rPr>
                <w:color w:val="000000"/>
                <w:sz w:val="20"/>
                <w:szCs w:val="20"/>
              </w:rPr>
              <w:t xml:space="preserve"> на т</w:t>
            </w:r>
            <w:r>
              <w:rPr>
                <w:color w:val="000000"/>
                <w:sz w:val="20"/>
                <w:szCs w:val="20"/>
              </w:rPr>
              <w:t>ерритории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91940,1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12302,4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13,4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180AF3">
              <w:rPr>
                <w:sz w:val="20"/>
                <w:szCs w:val="20"/>
                <w:lang w:eastAsia="en-US" w:bidi="en-US"/>
              </w:rPr>
              <w:t>1005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+11297,4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в12,2 раза</w:t>
            </w:r>
          </w:p>
        </w:tc>
      </w:tr>
      <w:tr w:rsidR="00180AF3" w:rsidRPr="00A60C75" w:rsidTr="00362B78">
        <w:trPr>
          <w:trHeight w:val="552"/>
        </w:trPr>
        <w:tc>
          <w:tcPr>
            <w:tcW w:w="3686" w:type="dxa"/>
            <w:shd w:val="clear" w:color="auto" w:fill="auto"/>
            <w:hideMark/>
          </w:tcPr>
          <w:p w:rsidR="00180AF3" w:rsidRPr="00A60C75" w:rsidRDefault="00180AF3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lastRenderedPageBreak/>
              <w:t xml:space="preserve">Защита населения и территории от ЧС природного и техногенного характера, обеспечение </w:t>
            </w:r>
            <w:proofErr w:type="spellStart"/>
            <w:r w:rsidRPr="00A60C75">
              <w:rPr>
                <w:color w:val="000000"/>
                <w:sz w:val="20"/>
                <w:szCs w:val="20"/>
              </w:rPr>
              <w:t>пож</w:t>
            </w:r>
            <w:proofErr w:type="gramStart"/>
            <w:r w:rsidRPr="00A60C75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A60C75">
              <w:rPr>
                <w:color w:val="000000"/>
                <w:sz w:val="20"/>
                <w:szCs w:val="20"/>
              </w:rPr>
              <w:t>езопасности</w:t>
            </w:r>
            <w:proofErr w:type="spellEnd"/>
            <w:r w:rsidRPr="00A60C75">
              <w:rPr>
                <w:color w:val="000000"/>
                <w:sz w:val="20"/>
                <w:szCs w:val="20"/>
              </w:rPr>
              <w:t xml:space="preserve"> и безопасности людей на водных</w:t>
            </w:r>
            <w:r>
              <w:rPr>
                <w:color w:val="000000"/>
                <w:sz w:val="20"/>
                <w:szCs w:val="20"/>
              </w:rPr>
              <w:t xml:space="preserve"> объектах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909,1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+259,1</w:t>
            </w:r>
          </w:p>
        </w:tc>
        <w:tc>
          <w:tcPr>
            <w:tcW w:w="905" w:type="dxa"/>
            <w:vAlign w:val="bottom"/>
          </w:tcPr>
          <w:p w:rsidR="00180AF3" w:rsidRDefault="00890F83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406,3</w:t>
            </w:r>
          </w:p>
        </w:tc>
      </w:tr>
      <w:tr w:rsidR="00180AF3" w:rsidRPr="00A60C75" w:rsidTr="004A224C">
        <w:trPr>
          <w:trHeight w:val="261"/>
        </w:trPr>
        <w:tc>
          <w:tcPr>
            <w:tcW w:w="3686" w:type="dxa"/>
            <w:shd w:val="clear" w:color="auto" w:fill="auto"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 xml:space="preserve">Модернизация дорожной сети </w:t>
            </w:r>
            <w:r w:rsidR="004A224C">
              <w:rPr>
                <w:color w:val="000000"/>
                <w:sz w:val="20"/>
                <w:szCs w:val="20"/>
              </w:rPr>
              <w:t>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30604,0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3617,3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3493,2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+124,1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103,6</w:t>
            </w:r>
          </w:p>
        </w:tc>
      </w:tr>
      <w:tr w:rsidR="00180AF3" w:rsidRPr="00A60C75" w:rsidTr="00362B78">
        <w:trPr>
          <w:trHeight w:val="415"/>
        </w:trPr>
        <w:tc>
          <w:tcPr>
            <w:tcW w:w="3686" w:type="dxa"/>
            <w:shd w:val="clear" w:color="auto" w:fill="auto"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Развитие физической культуры и спорта на территории Л</w:t>
            </w:r>
            <w:r w:rsidR="004A224C"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16937,1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4310,8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2234,2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+2076,6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192,9</w:t>
            </w:r>
          </w:p>
        </w:tc>
      </w:tr>
      <w:tr w:rsidR="00180AF3" w:rsidRPr="00A60C75" w:rsidTr="00362B78">
        <w:trPr>
          <w:trHeight w:val="365"/>
        </w:trPr>
        <w:tc>
          <w:tcPr>
            <w:tcW w:w="3686" w:type="dxa"/>
            <w:shd w:val="clear" w:color="auto" w:fill="auto"/>
            <w:hideMark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Обращение с твердыми бытовыми отходами в Л</w:t>
            </w:r>
            <w:r w:rsidR="004A224C"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-39,6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80AF3" w:rsidRPr="00A60C75" w:rsidTr="00362B78">
        <w:trPr>
          <w:trHeight w:val="663"/>
        </w:trPr>
        <w:tc>
          <w:tcPr>
            <w:tcW w:w="3686" w:type="dxa"/>
            <w:shd w:val="clear" w:color="auto" w:fill="auto"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Формирование в Л</w:t>
            </w:r>
            <w:r w:rsidR="004A224C">
              <w:rPr>
                <w:color w:val="000000"/>
                <w:sz w:val="20"/>
                <w:szCs w:val="20"/>
              </w:rPr>
              <w:t>ГО</w:t>
            </w:r>
            <w:r w:rsidRPr="00A60C75">
              <w:rPr>
                <w:color w:val="000000"/>
                <w:sz w:val="20"/>
                <w:szCs w:val="20"/>
              </w:rPr>
              <w:t xml:space="preserve">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</w:t>
            </w:r>
            <w:r>
              <w:rPr>
                <w:color w:val="000000"/>
                <w:sz w:val="20"/>
                <w:szCs w:val="20"/>
              </w:rPr>
              <w:t>ых технологий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218,8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180AF3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+120,1</w:t>
            </w:r>
          </w:p>
        </w:tc>
        <w:tc>
          <w:tcPr>
            <w:tcW w:w="905" w:type="dxa"/>
            <w:vAlign w:val="bottom"/>
          </w:tcPr>
          <w:p w:rsidR="00180AF3" w:rsidRDefault="00890F83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221,7</w:t>
            </w:r>
          </w:p>
        </w:tc>
      </w:tr>
      <w:tr w:rsidR="00180AF3" w:rsidRPr="00A60C75" w:rsidTr="004A224C">
        <w:trPr>
          <w:trHeight w:val="213"/>
        </w:trPr>
        <w:tc>
          <w:tcPr>
            <w:tcW w:w="3686" w:type="dxa"/>
            <w:shd w:val="clear" w:color="auto" w:fill="auto"/>
            <w:hideMark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Экономическое развитие Л</w:t>
            </w:r>
            <w:r w:rsidR="004A224C"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35833,0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5757,9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180AF3">
              <w:rPr>
                <w:bCs/>
                <w:color w:val="000000"/>
                <w:sz w:val="20"/>
                <w:szCs w:val="20"/>
                <w:lang w:eastAsia="en-US" w:bidi="en-US"/>
              </w:rPr>
              <w:t>16,1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180AF3">
              <w:rPr>
                <w:bCs/>
                <w:color w:val="000000"/>
                <w:sz w:val="20"/>
                <w:szCs w:val="20"/>
                <w:lang w:eastAsia="en-US" w:bidi="en-US"/>
              </w:rPr>
              <w:t>5874,2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-116,3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</w:tr>
      <w:tr w:rsidR="00180AF3" w:rsidRPr="00A60C75" w:rsidTr="00362B78">
        <w:trPr>
          <w:trHeight w:val="395"/>
        </w:trPr>
        <w:tc>
          <w:tcPr>
            <w:tcW w:w="3686" w:type="dxa"/>
            <w:shd w:val="clear" w:color="auto" w:fill="auto"/>
            <w:hideMark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Развитие муниципальной службы в администрации Л</w:t>
            </w:r>
            <w:r w:rsidR="004A224C"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46,0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180AF3">
              <w:rPr>
                <w:bCs/>
                <w:color w:val="000000"/>
                <w:sz w:val="20"/>
                <w:szCs w:val="20"/>
                <w:lang w:eastAsia="en-US" w:bidi="en-US"/>
              </w:rPr>
              <w:t>91,9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180AF3">
              <w:rPr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+46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0AF3" w:rsidRPr="00A60C75" w:rsidTr="00362B78">
        <w:trPr>
          <w:trHeight w:val="694"/>
        </w:trPr>
        <w:tc>
          <w:tcPr>
            <w:tcW w:w="3686" w:type="dxa"/>
            <w:shd w:val="clear" w:color="auto" w:fill="auto"/>
            <w:hideMark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bCs/>
                <w:sz w:val="20"/>
                <w:szCs w:val="20"/>
                <w:lang w:eastAsia="en-US" w:bidi="en-US"/>
              </w:rPr>
      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</w:t>
            </w:r>
            <w:r w:rsidR="004A224C">
              <w:rPr>
                <w:bCs/>
                <w:sz w:val="20"/>
                <w:szCs w:val="20"/>
                <w:lang w:eastAsia="en-US" w:bidi="en-US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0,0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180AF3">
              <w:rPr>
                <w:bCs/>
                <w:color w:val="000000"/>
                <w:sz w:val="20"/>
                <w:szCs w:val="20"/>
                <w:lang w:eastAsia="en-US" w:bidi="en-US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180AF3">
              <w:rPr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0AF3" w:rsidRPr="00A60C75" w:rsidTr="00362B78">
        <w:trPr>
          <w:trHeight w:val="435"/>
        </w:trPr>
        <w:tc>
          <w:tcPr>
            <w:tcW w:w="3686" w:type="dxa"/>
            <w:shd w:val="clear" w:color="auto" w:fill="auto"/>
            <w:hideMark/>
          </w:tcPr>
          <w:p w:rsidR="00180AF3" w:rsidRPr="00A60C75" w:rsidRDefault="00180AF3" w:rsidP="004A224C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bCs/>
                <w:sz w:val="20"/>
                <w:szCs w:val="20"/>
                <w:lang w:eastAsia="en-US" w:bidi="en-US"/>
              </w:rPr>
              <w:t>Формирование современной городской среды на территории Л</w:t>
            </w:r>
            <w:r w:rsidR="004A224C">
              <w:rPr>
                <w:bCs/>
                <w:sz w:val="20"/>
                <w:szCs w:val="20"/>
                <w:lang w:eastAsia="en-US" w:bidi="en-US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42802,2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80AF3" w:rsidRPr="00A60C75" w:rsidRDefault="00180AF3" w:rsidP="00C40026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0,0</w:t>
            </w:r>
          </w:p>
        </w:tc>
        <w:tc>
          <w:tcPr>
            <w:tcW w:w="869" w:type="dxa"/>
            <w:vAlign w:val="bottom"/>
          </w:tcPr>
          <w:p w:rsidR="00180AF3" w:rsidRPr="00180AF3" w:rsidRDefault="00180AF3" w:rsidP="00C40026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180AF3">
              <w:rPr>
                <w:bCs/>
                <w:color w:val="000000"/>
                <w:sz w:val="20"/>
                <w:szCs w:val="20"/>
                <w:lang w:eastAsia="en-US" w:bidi="en-US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80AF3" w:rsidRPr="00180AF3" w:rsidRDefault="00180AF3" w:rsidP="00C40026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180AF3">
              <w:rPr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0AF3" w:rsidRPr="00A60C75" w:rsidTr="00362B78">
        <w:trPr>
          <w:trHeight w:val="24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80AF3" w:rsidRPr="00A60C75" w:rsidRDefault="00180AF3" w:rsidP="00A60C75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Всего</w:t>
            </w:r>
            <w:proofErr w:type="spellEnd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по</w:t>
            </w:r>
            <w:proofErr w:type="spellEnd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муниципальным</w:t>
            </w:r>
            <w:proofErr w:type="spellEnd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программам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1028320,7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224281,9</w:t>
            </w:r>
          </w:p>
        </w:tc>
        <w:tc>
          <w:tcPr>
            <w:tcW w:w="869" w:type="dxa"/>
            <w:vAlign w:val="bottom"/>
          </w:tcPr>
          <w:p w:rsidR="00180AF3" w:rsidRPr="00A60C75" w:rsidRDefault="00180AF3" w:rsidP="00C40026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21,8</w:t>
            </w:r>
          </w:p>
        </w:tc>
        <w:tc>
          <w:tcPr>
            <w:tcW w:w="1135" w:type="dxa"/>
            <w:shd w:val="clear" w:color="auto" w:fill="auto"/>
            <w:noWrap/>
            <w:vAlign w:val="bottom"/>
          </w:tcPr>
          <w:p w:rsidR="00180AF3" w:rsidRPr="00A60C75" w:rsidRDefault="00180AF3" w:rsidP="006132E4">
            <w:pPr>
              <w:ind w:left="-52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2907C6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190072,6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+34209,3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180AF3" w:rsidRPr="00A60C75" w:rsidTr="00362B78">
        <w:trPr>
          <w:trHeight w:val="277"/>
        </w:trPr>
        <w:tc>
          <w:tcPr>
            <w:tcW w:w="3686" w:type="dxa"/>
            <w:shd w:val="clear" w:color="auto" w:fill="auto"/>
            <w:noWrap/>
            <w:vAlign w:val="center"/>
          </w:tcPr>
          <w:p w:rsidR="00180AF3" w:rsidRPr="00A60C75" w:rsidRDefault="00180AF3" w:rsidP="00DF2982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A60C75">
              <w:rPr>
                <w:b/>
                <w:sz w:val="20"/>
                <w:szCs w:val="20"/>
                <w:lang w:bidi="en-US"/>
              </w:rPr>
              <w:t>Непрограммные направления деятельности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218283,3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46723,6</w:t>
            </w:r>
          </w:p>
        </w:tc>
        <w:tc>
          <w:tcPr>
            <w:tcW w:w="869" w:type="dxa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21,4</w:t>
            </w:r>
          </w:p>
        </w:tc>
        <w:tc>
          <w:tcPr>
            <w:tcW w:w="113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30672,4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+16051,2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152,3</w:t>
            </w:r>
          </w:p>
        </w:tc>
      </w:tr>
      <w:tr w:rsidR="00180AF3" w:rsidRPr="00A60C75" w:rsidTr="00362B78">
        <w:trPr>
          <w:trHeight w:val="288"/>
        </w:trPr>
        <w:tc>
          <w:tcPr>
            <w:tcW w:w="3686" w:type="dxa"/>
            <w:shd w:val="clear" w:color="auto" w:fill="auto"/>
            <w:noWrap/>
            <w:vAlign w:val="center"/>
          </w:tcPr>
          <w:p w:rsidR="00180AF3" w:rsidRPr="00A60C75" w:rsidRDefault="00180AF3" w:rsidP="002907C6">
            <w:pPr>
              <w:rPr>
                <w:b/>
                <w:sz w:val="20"/>
                <w:szCs w:val="20"/>
                <w:lang w:bidi="en-US"/>
              </w:rPr>
            </w:pPr>
            <w:r w:rsidRPr="00A60C75">
              <w:rPr>
                <w:b/>
                <w:sz w:val="20"/>
                <w:szCs w:val="20"/>
                <w:lang w:bidi="en-US"/>
              </w:rPr>
              <w:t>Всего РАСХОДЫ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1246604,0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271005,5</w:t>
            </w:r>
          </w:p>
        </w:tc>
        <w:tc>
          <w:tcPr>
            <w:tcW w:w="869" w:type="dxa"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21,7</w:t>
            </w:r>
          </w:p>
        </w:tc>
        <w:tc>
          <w:tcPr>
            <w:tcW w:w="1135" w:type="dxa"/>
            <w:shd w:val="clear" w:color="auto" w:fill="auto"/>
            <w:noWrap/>
            <w:vAlign w:val="bottom"/>
          </w:tcPr>
          <w:p w:rsidR="00180AF3" w:rsidRPr="00A60C75" w:rsidRDefault="00180AF3" w:rsidP="00C40026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220745</w:t>
            </w:r>
          </w:p>
        </w:tc>
        <w:tc>
          <w:tcPr>
            <w:tcW w:w="1079" w:type="dxa"/>
            <w:vAlign w:val="bottom"/>
          </w:tcPr>
          <w:p w:rsidR="00180AF3" w:rsidRDefault="00180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+50260,5</w:t>
            </w:r>
          </w:p>
        </w:tc>
        <w:tc>
          <w:tcPr>
            <w:tcW w:w="905" w:type="dxa"/>
            <w:vAlign w:val="bottom"/>
          </w:tcPr>
          <w:p w:rsidR="00180AF3" w:rsidRDefault="00362B78" w:rsidP="00362B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122,8</w:t>
            </w:r>
          </w:p>
        </w:tc>
      </w:tr>
    </w:tbl>
    <w:p w:rsidR="00544BAD" w:rsidRPr="009431C0" w:rsidRDefault="00406573" w:rsidP="008155BA">
      <w:pPr>
        <w:pStyle w:val="a8"/>
        <w:spacing w:before="0" w:beforeAutospacing="0" w:after="0" w:afterAutospacing="0"/>
        <w:ind w:firstLine="708"/>
        <w:jc w:val="both"/>
      </w:pPr>
      <w:r w:rsidRPr="009431C0">
        <w:t xml:space="preserve"> </w:t>
      </w:r>
    </w:p>
    <w:p w:rsidR="00965E6C" w:rsidRDefault="00362B78" w:rsidP="00362B78">
      <w:pPr>
        <w:ind w:firstLine="709"/>
        <w:jc w:val="both"/>
        <w:rPr>
          <w:rFonts w:eastAsia="SimSun"/>
          <w:lang w:eastAsia="zh-CN"/>
        </w:rPr>
      </w:pPr>
      <w:r w:rsidRPr="00362B78">
        <w:rPr>
          <w:rFonts w:eastAsia="SimSun"/>
          <w:lang w:eastAsia="zh-CN"/>
        </w:rPr>
        <w:t>Исполнение выше среднего уровня за отч</w:t>
      </w:r>
      <w:r>
        <w:rPr>
          <w:rFonts w:eastAsia="SimSun"/>
          <w:lang w:eastAsia="zh-CN"/>
        </w:rPr>
        <w:t>етный период сложилось по 6-ти</w:t>
      </w:r>
      <w:r w:rsidRPr="00362B78">
        <w:rPr>
          <w:rFonts w:eastAsia="SimSun"/>
          <w:lang w:eastAsia="zh-CN"/>
        </w:rPr>
        <w:t xml:space="preserve"> муниципальным программам</w:t>
      </w:r>
      <w:r w:rsidR="00965E6C">
        <w:rPr>
          <w:rFonts w:eastAsia="SimSun"/>
          <w:lang w:eastAsia="zh-CN"/>
        </w:rPr>
        <w:t>, наибольшее из них</w:t>
      </w:r>
      <w:r w:rsidRPr="00362B78">
        <w:rPr>
          <w:rFonts w:eastAsia="SimSun"/>
          <w:lang w:eastAsia="zh-CN"/>
        </w:rPr>
        <w:t>:</w:t>
      </w:r>
    </w:p>
    <w:p w:rsidR="00965E6C" w:rsidRDefault="00965E6C" w:rsidP="00362B78">
      <w:pPr>
        <w:ind w:firstLine="709"/>
        <w:jc w:val="both"/>
        <w:rPr>
          <w:rFonts w:eastAsia="SimSun"/>
          <w:lang w:eastAsia="zh-CN"/>
        </w:rPr>
      </w:pPr>
      <w:r w:rsidRPr="00965E6C">
        <w:rPr>
          <w:rFonts w:eastAsia="SimSun"/>
          <w:lang w:eastAsia="zh-CN"/>
        </w:rPr>
        <w:t>- «Развитие муниципальной службы в администрации Лесозаводского городского округа» - 91,9% или 46 тыс. руб.</w:t>
      </w:r>
      <w:r w:rsidR="00136F0F">
        <w:rPr>
          <w:rFonts w:eastAsia="SimSun"/>
          <w:lang w:eastAsia="zh-CN"/>
        </w:rPr>
        <w:t xml:space="preserve"> (план 50 тыс. руб.)</w:t>
      </w:r>
      <w:r>
        <w:rPr>
          <w:rFonts w:eastAsia="SimSun"/>
          <w:lang w:eastAsia="zh-CN"/>
        </w:rPr>
        <w:t>,</w:t>
      </w:r>
    </w:p>
    <w:p w:rsidR="00965E6C" w:rsidRDefault="00965E6C" w:rsidP="00362B78">
      <w:pPr>
        <w:ind w:firstLine="709"/>
        <w:jc w:val="both"/>
        <w:rPr>
          <w:rFonts w:eastAsia="SimSun"/>
          <w:lang w:eastAsia="zh-CN"/>
        </w:rPr>
      </w:pPr>
      <w:r w:rsidRPr="00965E6C">
        <w:rPr>
          <w:rFonts w:eastAsia="SimSun"/>
          <w:lang w:eastAsia="zh-CN"/>
        </w:rPr>
        <w:t xml:space="preserve">- «Защита населения и территории от ЧС природного и техногенного характера, обеспечение </w:t>
      </w:r>
      <w:proofErr w:type="spellStart"/>
      <w:r w:rsidRPr="00965E6C">
        <w:rPr>
          <w:rFonts w:eastAsia="SimSun"/>
          <w:lang w:eastAsia="zh-CN"/>
        </w:rPr>
        <w:t>пож</w:t>
      </w:r>
      <w:proofErr w:type="gramStart"/>
      <w:r w:rsidRPr="00965E6C">
        <w:rPr>
          <w:rFonts w:eastAsia="SimSun"/>
          <w:lang w:eastAsia="zh-CN"/>
        </w:rPr>
        <w:t>.б</w:t>
      </w:r>
      <w:proofErr w:type="gramEnd"/>
      <w:r w:rsidRPr="00965E6C">
        <w:rPr>
          <w:rFonts w:eastAsia="SimSun"/>
          <w:lang w:eastAsia="zh-CN"/>
        </w:rPr>
        <w:t>езопасности</w:t>
      </w:r>
      <w:proofErr w:type="spellEnd"/>
      <w:r w:rsidRPr="00965E6C">
        <w:rPr>
          <w:rFonts w:eastAsia="SimSun"/>
          <w:lang w:eastAsia="zh-CN"/>
        </w:rPr>
        <w:t xml:space="preserve"> и безопасности людей на водных объектах ЛГО» - 37,8% или 343,7 тыс. руб.</w:t>
      </w:r>
      <w:r w:rsidR="00136F0F">
        <w:rPr>
          <w:rFonts w:eastAsia="SimSun"/>
          <w:lang w:eastAsia="zh-CN"/>
        </w:rPr>
        <w:t xml:space="preserve"> (план 909,1 тыс. руб.)</w:t>
      </w:r>
      <w:r w:rsidRPr="00965E6C">
        <w:rPr>
          <w:rFonts w:eastAsia="SimSun"/>
          <w:lang w:eastAsia="zh-CN"/>
        </w:rPr>
        <w:t>,</w:t>
      </w:r>
    </w:p>
    <w:p w:rsidR="00965E6C" w:rsidRDefault="00965E6C" w:rsidP="00362B78">
      <w:pPr>
        <w:ind w:firstLine="709"/>
        <w:jc w:val="both"/>
        <w:rPr>
          <w:rFonts w:eastAsia="SimSun"/>
          <w:lang w:eastAsia="zh-CN"/>
        </w:rPr>
      </w:pPr>
      <w:r w:rsidRPr="00965E6C">
        <w:rPr>
          <w:rFonts w:eastAsia="SimSun"/>
          <w:lang w:eastAsia="zh-CN"/>
        </w:rPr>
        <w:t>- «Сохранение и развитие культуры  на территории ЛГО» – 28,8% или 20194,4 тыс. руб.</w:t>
      </w:r>
      <w:r w:rsidR="00136F0F">
        <w:rPr>
          <w:rFonts w:eastAsia="SimSun"/>
          <w:lang w:eastAsia="zh-CN"/>
        </w:rPr>
        <w:t xml:space="preserve"> (план 70018,8 тыс. руб.)</w:t>
      </w:r>
    </w:p>
    <w:p w:rsidR="00D21F85" w:rsidRDefault="00D21F85" w:rsidP="00362B78">
      <w:pPr>
        <w:ind w:firstLine="709"/>
        <w:jc w:val="both"/>
        <w:rPr>
          <w:rFonts w:eastAsia="SimSun"/>
          <w:lang w:eastAsia="zh-CN"/>
        </w:rPr>
      </w:pPr>
      <w:r w:rsidRPr="00D21F85">
        <w:rPr>
          <w:rFonts w:eastAsia="SimSun"/>
          <w:lang w:eastAsia="zh-CN"/>
        </w:rPr>
        <w:t xml:space="preserve">Исполнение </w:t>
      </w:r>
      <w:r w:rsidRPr="00136F0F">
        <w:rPr>
          <w:rFonts w:eastAsia="SimSun"/>
          <w:b/>
          <w:lang w:eastAsia="zh-CN"/>
        </w:rPr>
        <w:t>ниже среднего</w:t>
      </w:r>
      <w:r w:rsidRPr="00D21F85">
        <w:rPr>
          <w:rFonts w:eastAsia="SimSun"/>
          <w:lang w:eastAsia="zh-CN"/>
        </w:rPr>
        <w:t xml:space="preserve"> уровня за отчетный период сложилось по </w:t>
      </w:r>
      <w:r>
        <w:rPr>
          <w:rFonts w:eastAsia="SimSun"/>
          <w:lang w:eastAsia="zh-CN"/>
        </w:rPr>
        <w:t>8</w:t>
      </w:r>
      <w:r w:rsidRPr="00D21F85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>м</w:t>
      </w:r>
      <w:r w:rsidRPr="00D21F85">
        <w:rPr>
          <w:rFonts w:eastAsia="SimSun"/>
          <w:lang w:eastAsia="zh-CN"/>
        </w:rPr>
        <w:t>и муниципальным программам</w:t>
      </w:r>
      <w:r>
        <w:rPr>
          <w:rFonts w:eastAsia="SimSun"/>
          <w:lang w:eastAsia="zh-CN"/>
        </w:rPr>
        <w:t>, наименьшее из них</w:t>
      </w:r>
      <w:r w:rsidRPr="00D21F85">
        <w:rPr>
          <w:rFonts w:eastAsia="SimSun"/>
          <w:lang w:eastAsia="zh-CN"/>
        </w:rPr>
        <w:t>:</w:t>
      </w:r>
    </w:p>
    <w:p w:rsidR="00965E6C" w:rsidRDefault="00965E6C" w:rsidP="00362B78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r w:rsidRPr="00965E6C">
        <w:rPr>
          <w:rFonts w:eastAsia="SimSun"/>
          <w:lang w:eastAsia="zh-CN"/>
        </w:rPr>
        <w:t xml:space="preserve">Обращение с твердыми бытовыми отходами </w:t>
      </w:r>
      <w:r>
        <w:rPr>
          <w:rFonts w:eastAsia="SimSun"/>
          <w:lang w:eastAsia="zh-CN"/>
        </w:rPr>
        <w:t xml:space="preserve">в ЛГО» - при </w:t>
      </w:r>
      <w:r w:rsidR="004A224C">
        <w:rPr>
          <w:rFonts w:eastAsia="SimSun"/>
          <w:lang w:eastAsia="zh-CN"/>
        </w:rPr>
        <w:t xml:space="preserve">установленном </w:t>
      </w:r>
      <w:r>
        <w:rPr>
          <w:rFonts w:eastAsia="SimSun"/>
          <w:lang w:eastAsia="zh-CN"/>
        </w:rPr>
        <w:t>плане 500 тыс. руб. расходы не производились,</w:t>
      </w:r>
    </w:p>
    <w:p w:rsidR="004A224C" w:rsidRDefault="004A224C" w:rsidP="004A224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r w:rsidRPr="004A224C">
        <w:rPr>
          <w:rFonts w:eastAsia="SimSun"/>
          <w:lang w:eastAsia="zh-CN"/>
        </w:rPr>
        <w:t>Формирование современной городской среды на территории Л</w:t>
      </w:r>
      <w:r>
        <w:rPr>
          <w:rFonts w:eastAsia="SimSun"/>
          <w:lang w:eastAsia="zh-CN"/>
        </w:rPr>
        <w:t>ГО» - при плане 42802,2 тыс. руб. расходы не производились,</w:t>
      </w:r>
    </w:p>
    <w:p w:rsidR="004A224C" w:rsidRDefault="00965E6C" w:rsidP="004A224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</w:t>
      </w:r>
      <w:r w:rsidR="004A224C">
        <w:rPr>
          <w:rFonts w:eastAsia="SimSun"/>
          <w:lang w:eastAsia="zh-CN"/>
        </w:rPr>
        <w:t>«</w:t>
      </w:r>
      <w:r w:rsidR="004A224C" w:rsidRPr="004A224C">
        <w:rPr>
          <w:rFonts w:eastAsia="SimSun"/>
          <w:lang w:eastAsia="zh-CN"/>
        </w:rPr>
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</w:t>
      </w:r>
      <w:r w:rsidR="004A224C">
        <w:rPr>
          <w:rFonts w:eastAsia="SimSun"/>
          <w:lang w:eastAsia="zh-CN"/>
        </w:rPr>
        <w:t>ГО» - при плане 400 тыс. руб. расходы не производились,</w:t>
      </w:r>
    </w:p>
    <w:p w:rsidR="00965E6C" w:rsidRDefault="00D21F85" w:rsidP="00965E6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 w:rsidR="00965E6C">
        <w:rPr>
          <w:rFonts w:eastAsia="SimSun"/>
          <w:lang w:eastAsia="zh-CN"/>
        </w:rPr>
        <w:t xml:space="preserve"> «</w:t>
      </w:r>
      <w:proofErr w:type="spellStart"/>
      <w:r w:rsidR="00965E6C" w:rsidRPr="00965E6C">
        <w:rPr>
          <w:rFonts w:eastAsia="SimSun"/>
          <w:lang w:eastAsia="zh-CN"/>
        </w:rPr>
        <w:t>Энергоэффективность</w:t>
      </w:r>
      <w:proofErr w:type="spellEnd"/>
      <w:r w:rsidR="00965E6C" w:rsidRPr="00965E6C">
        <w:rPr>
          <w:rFonts w:eastAsia="SimSun"/>
          <w:lang w:eastAsia="zh-CN"/>
        </w:rPr>
        <w:t>, развитие системы газоснабжения в ЛГО</w:t>
      </w:r>
      <w:r w:rsidR="00965E6C">
        <w:rPr>
          <w:rFonts w:eastAsia="SimSun"/>
          <w:lang w:eastAsia="zh-CN"/>
        </w:rPr>
        <w:t xml:space="preserve">» - 0,4%, при плане 30735,5 тыс. руб.  исполнено 109,9 тыс. руб., </w:t>
      </w:r>
    </w:p>
    <w:p w:rsidR="004A224C" w:rsidRDefault="004A224C" w:rsidP="004A224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r w:rsidRPr="00965E6C">
        <w:rPr>
          <w:rFonts w:eastAsia="SimSun"/>
          <w:lang w:eastAsia="zh-CN"/>
        </w:rPr>
        <w:t>Модернизация дорожной сети Лесозаводского городского округа</w:t>
      </w:r>
      <w:r>
        <w:rPr>
          <w:rFonts w:eastAsia="SimSun"/>
          <w:lang w:eastAsia="zh-CN"/>
        </w:rPr>
        <w:t xml:space="preserve">» - </w:t>
      </w:r>
      <w:r w:rsidR="00136F0F">
        <w:rPr>
          <w:rFonts w:eastAsia="SimSun"/>
          <w:lang w:eastAsia="zh-CN"/>
        </w:rPr>
        <w:t xml:space="preserve">11,8%, </w:t>
      </w:r>
      <w:r>
        <w:rPr>
          <w:rFonts w:eastAsia="SimSun"/>
          <w:lang w:eastAsia="zh-CN"/>
        </w:rPr>
        <w:t>при плане 30604 тыс. руб. исполнение составило 3617,3 тыс. руб.,</w:t>
      </w:r>
    </w:p>
    <w:p w:rsidR="00965E6C" w:rsidRDefault="004A224C" w:rsidP="00965E6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r w:rsidR="00965E6C" w:rsidRPr="00965E6C">
        <w:rPr>
          <w:rFonts w:eastAsia="SimSun"/>
          <w:lang w:eastAsia="zh-CN"/>
        </w:rPr>
        <w:t xml:space="preserve">Обеспечение доступными и качественными услугами жилищно-коммунального комплекса населения </w:t>
      </w:r>
      <w:r>
        <w:rPr>
          <w:rFonts w:eastAsia="SimSun"/>
          <w:lang w:eastAsia="zh-CN"/>
        </w:rPr>
        <w:t>ЛГО» - 12,8%, при плане 27244,9 тыс. руб. исполнение составило 3475,9 тыс. руб.</w:t>
      </w:r>
    </w:p>
    <w:p w:rsidR="00180AF3" w:rsidRDefault="00180AF3" w:rsidP="00362B78">
      <w:pPr>
        <w:ind w:firstLine="709"/>
        <w:jc w:val="both"/>
        <w:rPr>
          <w:rFonts w:eastAsia="SimSun"/>
          <w:lang w:eastAsia="zh-CN"/>
        </w:rPr>
      </w:pPr>
      <w:r w:rsidRPr="00180AF3">
        <w:rPr>
          <w:rFonts w:eastAsia="SimSun"/>
          <w:lang w:eastAsia="zh-CN"/>
        </w:rPr>
        <w:lastRenderedPageBreak/>
        <w:t xml:space="preserve">Расходы на реализацию муниципальных программ в целом по отношению к аналогичному периоду 2019 года увеличились на </w:t>
      </w:r>
      <w:r w:rsidRPr="00136F0F">
        <w:rPr>
          <w:rFonts w:eastAsia="SimSun"/>
          <w:b/>
          <w:lang w:eastAsia="zh-CN"/>
        </w:rPr>
        <w:t>34209,3</w:t>
      </w:r>
      <w:r w:rsidRPr="00180AF3">
        <w:rPr>
          <w:rFonts w:eastAsia="SimSun"/>
          <w:lang w:eastAsia="zh-CN"/>
        </w:rPr>
        <w:t xml:space="preserve"> тыс. руб. или на 18%. </w:t>
      </w:r>
    </w:p>
    <w:p w:rsidR="00410E85" w:rsidRDefault="00A62F9C" w:rsidP="00410E85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Однако по трем </w:t>
      </w:r>
      <w:r w:rsidR="00410E85" w:rsidRPr="00410E85">
        <w:rPr>
          <w:rFonts w:eastAsia="SimSun"/>
          <w:lang w:eastAsia="zh-CN"/>
        </w:rPr>
        <w:t>муниципальным программам</w:t>
      </w:r>
      <w:r>
        <w:rPr>
          <w:rFonts w:eastAsia="SimSun"/>
          <w:lang w:eastAsia="zh-CN"/>
        </w:rPr>
        <w:t xml:space="preserve"> наблюдается </w:t>
      </w:r>
      <w:r w:rsidRPr="00136F0F">
        <w:rPr>
          <w:rFonts w:eastAsia="SimSun"/>
          <w:b/>
          <w:lang w:eastAsia="zh-CN"/>
        </w:rPr>
        <w:t>снижение</w:t>
      </w:r>
      <w:r>
        <w:rPr>
          <w:rFonts w:eastAsia="SimSun"/>
          <w:lang w:eastAsia="zh-CN"/>
        </w:rPr>
        <w:t xml:space="preserve"> расходов</w:t>
      </w:r>
      <w:r w:rsidR="00410E85" w:rsidRPr="00410E85">
        <w:rPr>
          <w:rFonts w:eastAsia="SimSun"/>
          <w:lang w:eastAsia="zh-CN"/>
        </w:rPr>
        <w:t>:</w:t>
      </w:r>
    </w:p>
    <w:p w:rsidR="004A224C" w:rsidRDefault="004A224C" w:rsidP="004A224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proofErr w:type="spellStart"/>
      <w:r w:rsidRPr="00965E6C">
        <w:rPr>
          <w:rFonts w:eastAsia="SimSun"/>
          <w:lang w:eastAsia="zh-CN"/>
        </w:rPr>
        <w:t>Энергоэффективность</w:t>
      </w:r>
      <w:proofErr w:type="spellEnd"/>
      <w:r w:rsidRPr="00965E6C">
        <w:rPr>
          <w:rFonts w:eastAsia="SimSun"/>
          <w:lang w:eastAsia="zh-CN"/>
        </w:rPr>
        <w:t>, развитие системы газоснабжения в ЛГО</w:t>
      </w:r>
      <w:r>
        <w:rPr>
          <w:rFonts w:eastAsia="SimSun"/>
          <w:lang w:eastAsia="zh-CN"/>
        </w:rPr>
        <w:t xml:space="preserve">» - на 220,5 тыс. руб. или на </w:t>
      </w:r>
      <w:r w:rsidR="005D2AB0">
        <w:rPr>
          <w:rFonts w:eastAsia="SimSun"/>
          <w:lang w:eastAsia="zh-CN"/>
        </w:rPr>
        <w:t>66</w:t>
      </w:r>
      <w:r>
        <w:rPr>
          <w:rFonts w:eastAsia="SimSun"/>
          <w:lang w:eastAsia="zh-CN"/>
        </w:rPr>
        <w:t>,</w:t>
      </w:r>
      <w:r w:rsidR="005D2AB0"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 xml:space="preserve">%, </w:t>
      </w:r>
    </w:p>
    <w:p w:rsidR="00A62F9C" w:rsidRDefault="004A224C" w:rsidP="00410E85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r w:rsidRPr="004A224C">
        <w:rPr>
          <w:rFonts w:eastAsia="SimSun"/>
          <w:lang w:eastAsia="zh-CN"/>
        </w:rPr>
        <w:t>Экономическое развитие ЛГО</w:t>
      </w:r>
      <w:r>
        <w:rPr>
          <w:rFonts w:eastAsia="SimSun"/>
          <w:lang w:eastAsia="zh-CN"/>
        </w:rPr>
        <w:t xml:space="preserve">» - на 116,3 тыс. руб. или на </w:t>
      </w:r>
      <w:r w:rsidR="005D2AB0"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%</w:t>
      </w:r>
      <w:r w:rsidR="00A62F9C">
        <w:rPr>
          <w:rFonts w:eastAsia="SimSun"/>
          <w:lang w:eastAsia="zh-CN"/>
        </w:rPr>
        <w:t>,</w:t>
      </w:r>
    </w:p>
    <w:p w:rsidR="004A224C" w:rsidRDefault="00A62F9C" w:rsidP="00410E85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</w:t>
      </w:r>
      <w:r w:rsidRPr="00A62F9C">
        <w:rPr>
          <w:rFonts w:eastAsia="SimSun"/>
          <w:lang w:eastAsia="zh-CN"/>
        </w:rPr>
        <w:t xml:space="preserve">«Обращение с твердыми бытовыми отходами в ЛГО» - </w:t>
      </w:r>
      <w:r>
        <w:rPr>
          <w:rFonts w:eastAsia="SimSun"/>
          <w:lang w:eastAsia="zh-CN"/>
        </w:rPr>
        <w:t xml:space="preserve">на 39 тыс. руб., в связи с отсутствием </w:t>
      </w:r>
      <w:r w:rsidRPr="00A62F9C">
        <w:rPr>
          <w:rFonts w:eastAsia="SimSun"/>
          <w:lang w:eastAsia="zh-CN"/>
        </w:rPr>
        <w:t>расход</w:t>
      </w:r>
      <w:r>
        <w:rPr>
          <w:rFonts w:eastAsia="SimSun"/>
          <w:lang w:eastAsia="zh-CN"/>
        </w:rPr>
        <w:t>ов</w:t>
      </w:r>
      <w:r w:rsidR="005D2AB0">
        <w:rPr>
          <w:rFonts w:eastAsia="SimSun"/>
          <w:lang w:eastAsia="zh-CN"/>
        </w:rPr>
        <w:t>.</w:t>
      </w:r>
    </w:p>
    <w:p w:rsidR="005D2AB0" w:rsidRDefault="005D2AB0" w:rsidP="00410E85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По остальным программам </w:t>
      </w:r>
      <w:r w:rsidR="00A62F9C">
        <w:rPr>
          <w:rFonts w:eastAsia="SimSun"/>
          <w:lang w:eastAsia="zh-CN"/>
        </w:rPr>
        <w:t xml:space="preserve">(восьми) </w:t>
      </w:r>
      <w:r>
        <w:rPr>
          <w:rFonts w:eastAsia="SimSun"/>
          <w:lang w:eastAsia="zh-CN"/>
        </w:rPr>
        <w:t>исполне</w:t>
      </w:r>
      <w:r w:rsidR="0066160C">
        <w:rPr>
          <w:rFonts w:eastAsia="SimSun"/>
          <w:lang w:eastAsia="zh-CN"/>
        </w:rPr>
        <w:t>ние расходов увеличилось.</w:t>
      </w:r>
    </w:p>
    <w:p w:rsidR="00860A50" w:rsidRPr="00C64F59" w:rsidRDefault="00C64F59" w:rsidP="00860A50">
      <w:pPr>
        <w:ind w:firstLine="709"/>
        <w:jc w:val="both"/>
        <w:rPr>
          <w:lang w:bidi="en-US"/>
        </w:rPr>
      </w:pPr>
      <w:proofErr w:type="gramStart"/>
      <w:r w:rsidRPr="00C64F59">
        <w:rPr>
          <w:bCs/>
          <w:lang w:bidi="en-US"/>
        </w:rPr>
        <w:t>И</w:t>
      </w:r>
      <w:r w:rsidRPr="00C64F59">
        <w:rPr>
          <w:lang w:bidi="en-US"/>
        </w:rPr>
        <w:t xml:space="preserve">сполнение расходов </w:t>
      </w:r>
      <w:r w:rsidRPr="00C64F59">
        <w:rPr>
          <w:lang w:eastAsia="en-US" w:bidi="en-US"/>
        </w:rPr>
        <w:t xml:space="preserve">на непрограммные направления деятельности </w:t>
      </w:r>
      <w:r w:rsidRPr="00C64F59">
        <w:rPr>
          <w:lang w:bidi="en-US"/>
        </w:rPr>
        <w:t>за 1 квартал 20</w:t>
      </w:r>
      <w:r w:rsidR="0066160C">
        <w:rPr>
          <w:lang w:bidi="en-US"/>
        </w:rPr>
        <w:t>20</w:t>
      </w:r>
      <w:r w:rsidRPr="00C64F59">
        <w:rPr>
          <w:lang w:bidi="en-US"/>
        </w:rPr>
        <w:t xml:space="preserve"> года по сравнению с </w:t>
      </w:r>
      <w:r w:rsidR="00EA24DD">
        <w:rPr>
          <w:lang w:bidi="en-US"/>
        </w:rPr>
        <w:t>аналогичным периодом</w:t>
      </w:r>
      <w:r w:rsidRPr="00C64F59">
        <w:rPr>
          <w:lang w:bidi="en-US"/>
        </w:rPr>
        <w:t xml:space="preserve"> 201</w:t>
      </w:r>
      <w:r w:rsidR="0066160C">
        <w:rPr>
          <w:lang w:bidi="en-US"/>
        </w:rPr>
        <w:t>9</w:t>
      </w:r>
      <w:r w:rsidRPr="00C64F59">
        <w:rPr>
          <w:lang w:bidi="en-US"/>
        </w:rPr>
        <w:t xml:space="preserve"> года у</w:t>
      </w:r>
      <w:r w:rsidR="0066160C">
        <w:rPr>
          <w:lang w:bidi="en-US"/>
        </w:rPr>
        <w:t xml:space="preserve">величилось </w:t>
      </w:r>
      <w:r w:rsidRPr="00C64F59">
        <w:rPr>
          <w:lang w:bidi="en-US"/>
        </w:rPr>
        <w:t xml:space="preserve">на </w:t>
      </w:r>
      <w:r w:rsidR="0066160C">
        <w:rPr>
          <w:lang w:bidi="en-US"/>
        </w:rPr>
        <w:t>16051,2</w:t>
      </w:r>
      <w:r w:rsidRPr="00C64F59">
        <w:rPr>
          <w:lang w:bidi="en-US"/>
        </w:rPr>
        <w:t xml:space="preserve"> тыс. руб. или на </w:t>
      </w:r>
      <w:r w:rsidR="00EA24DD">
        <w:rPr>
          <w:lang w:bidi="en-US"/>
        </w:rPr>
        <w:t>5</w:t>
      </w:r>
      <w:r w:rsidR="0066160C">
        <w:rPr>
          <w:lang w:bidi="en-US"/>
        </w:rPr>
        <w:t>2,3</w:t>
      </w:r>
      <w:r w:rsidRPr="00C64F59">
        <w:rPr>
          <w:lang w:bidi="en-US"/>
        </w:rPr>
        <w:t>%</w:t>
      </w:r>
      <w:r w:rsidR="00EA24DD">
        <w:rPr>
          <w:lang w:bidi="en-US"/>
        </w:rPr>
        <w:t>.</w:t>
      </w:r>
      <w:r w:rsidR="001E468F">
        <w:rPr>
          <w:lang w:bidi="en-US"/>
        </w:rPr>
        <w:t xml:space="preserve"> Основное увеличение за счет произведенных расходов на социальные выплаты по социальной поддержке детей, оставшихся без попечения родителей, и лиц, принявших на воспитание в семью детей, оставшихся без попечения родителей (8511,6 тыс. руб.), </w:t>
      </w:r>
      <w:r w:rsidR="0077316A">
        <w:rPr>
          <w:lang w:bidi="en-US"/>
        </w:rPr>
        <w:t>предоставление субсидий</w:t>
      </w:r>
      <w:proofErr w:type="gramEnd"/>
      <w:r w:rsidR="0077316A">
        <w:rPr>
          <w:lang w:bidi="en-US"/>
        </w:rPr>
        <w:t xml:space="preserve"> организациям на возмещение затрат (2360,2 тыс. руб.)</w:t>
      </w:r>
      <w:r w:rsidR="001E468F">
        <w:rPr>
          <w:lang w:bidi="en-US"/>
        </w:rPr>
        <w:t>.</w:t>
      </w:r>
    </w:p>
    <w:p w:rsidR="00C64F59" w:rsidRPr="00C64F59" w:rsidRDefault="00C64F59" w:rsidP="00860A50">
      <w:pPr>
        <w:ind w:firstLine="709"/>
        <w:jc w:val="both"/>
        <w:rPr>
          <w:i/>
        </w:rPr>
      </w:pPr>
    </w:p>
    <w:p w:rsidR="00860A50" w:rsidRDefault="00860A50" w:rsidP="00860A50">
      <w:pPr>
        <w:ind w:firstLine="709"/>
        <w:jc w:val="both"/>
        <w:outlineLvl w:val="1"/>
        <w:rPr>
          <w:b/>
        </w:rPr>
      </w:pPr>
      <w:r w:rsidRPr="00F54599">
        <w:rPr>
          <w:b/>
        </w:rPr>
        <w:t xml:space="preserve">                   </w:t>
      </w:r>
      <w:r w:rsidR="00F54599" w:rsidRPr="00F54599">
        <w:rPr>
          <w:b/>
        </w:rPr>
        <w:t>5.</w:t>
      </w:r>
      <w:r w:rsidRPr="00A47F28">
        <w:t xml:space="preserve">  </w:t>
      </w:r>
      <w:r w:rsidRPr="00A47F28">
        <w:rPr>
          <w:b/>
        </w:rPr>
        <w:t>Расходование средств бюджетных фондов</w:t>
      </w:r>
    </w:p>
    <w:p w:rsidR="0066160C" w:rsidRPr="00A47F28" w:rsidRDefault="0066160C" w:rsidP="00860A50">
      <w:pPr>
        <w:ind w:firstLine="709"/>
        <w:jc w:val="both"/>
        <w:outlineLvl w:val="1"/>
        <w:rPr>
          <w:b/>
        </w:rPr>
      </w:pPr>
    </w:p>
    <w:p w:rsidR="00860A50" w:rsidRDefault="00860A50" w:rsidP="00860A50">
      <w:pPr>
        <w:ind w:firstLine="709"/>
        <w:jc w:val="both"/>
        <w:rPr>
          <w:b/>
          <w:i/>
        </w:rPr>
      </w:pPr>
      <w:r>
        <w:rPr>
          <w:b/>
          <w:i/>
        </w:rPr>
        <w:t>Р</w:t>
      </w:r>
      <w:r w:rsidRPr="00A20FF7">
        <w:rPr>
          <w:b/>
          <w:i/>
        </w:rPr>
        <w:t>езервн</w:t>
      </w:r>
      <w:r>
        <w:rPr>
          <w:b/>
          <w:i/>
        </w:rPr>
        <w:t xml:space="preserve">ый фонд </w:t>
      </w:r>
      <w:r w:rsidRPr="00A20FF7">
        <w:rPr>
          <w:b/>
          <w:i/>
        </w:rPr>
        <w:t xml:space="preserve"> </w:t>
      </w:r>
    </w:p>
    <w:p w:rsidR="00100727" w:rsidRDefault="00860A50" w:rsidP="00100727">
      <w:pPr>
        <w:ind w:firstLine="709"/>
        <w:jc w:val="both"/>
        <w:rPr>
          <w:b/>
          <w:i/>
        </w:rPr>
      </w:pPr>
      <w:r w:rsidRPr="00A20FF7">
        <w:t xml:space="preserve">Решением о бюджете Лесозаводского городского округа объем </w:t>
      </w:r>
      <w:r w:rsidRPr="004712EC">
        <w:t>Резервного фонда</w:t>
      </w:r>
      <w:r>
        <w:rPr>
          <w:b/>
          <w:i/>
        </w:rPr>
        <w:t xml:space="preserve"> </w:t>
      </w:r>
      <w:r w:rsidRPr="00A20FF7">
        <w:rPr>
          <w:b/>
          <w:i/>
        </w:rPr>
        <w:t xml:space="preserve"> </w:t>
      </w:r>
      <w:r w:rsidRPr="009C0F31">
        <w:t xml:space="preserve">администрации </w:t>
      </w:r>
      <w:r>
        <w:t>на 20</w:t>
      </w:r>
      <w:r w:rsidR="0066160C">
        <w:t>20</w:t>
      </w:r>
      <w:r>
        <w:t xml:space="preserve"> год </w:t>
      </w:r>
      <w:r w:rsidRPr="00A20FF7">
        <w:t xml:space="preserve">утвержден в сумме </w:t>
      </w:r>
      <w:r w:rsidRPr="00A20FF7">
        <w:rPr>
          <w:b/>
          <w:i/>
        </w:rPr>
        <w:t xml:space="preserve">500,0 </w:t>
      </w:r>
      <w:r w:rsidRPr="00100727">
        <w:t>тыс. руб</w:t>
      </w:r>
      <w:r w:rsidRPr="00A20FF7">
        <w:rPr>
          <w:b/>
          <w:i/>
        </w:rPr>
        <w:t>.</w:t>
      </w:r>
      <w:r>
        <w:rPr>
          <w:b/>
          <w:i/>
        </w:rPr>
        <w:t xml:space="preserve"> </w:t>
      </w:r>
    </w:p>
    <w:p w:rsidR="007B2D81" w:rsidRPr="007B2D81" w:rsidRDefault="00100727" w:rsidP="0010072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Согласно Отчету о расходовании средств резервного фонда администрации Лесозаводского городского округа за</w:t>
      </w:r>
      <w:r w:rsidRPr="0010072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1 квартал </w:t>
      </w:r>
      <w:r w:rsidRPr="00100727">
        <w:rPr>
          <w:rFonts w:eastAsia="Calibri"/>
          <w:lang w:eastAsia="en-US"/>
        </w:rPr>
        <w:t>20</w:t>
      </w:r>
      <w:r w:rsidR="007B2D81">
        <w:rPr>
          <w:rFonts w:eastAsia="Calibri"/>
          <w:lang w:eastAsia="en-US"/>
        </w:rPr>
        <w:t>20</w:t>
      </w:r>
      <w:r w:rsidRPr="00100727">
        <w:rPr>
          <w:rFonts w:eastAsia="Calibri"/>
          <w:lang w:eastAsia="en-US"/>
        </w:rPr>
        <w:t xml:space="preserve"> год</w:t>
      </w:r>
      <w:r>
        <w:rPr>
          <w:rFonts w:eastAsia="Calibri"/>
          <w:lang w:eastAsia="en-US"/>
        </w:rPr>
        <w:t>а</w:t>
      </w:r>
      <w:r w:rsidR="007B2D81">
        <w:rPr>
          <w:rFonts w:eastAsia="Calibri"/>
          <w:lang w:eastAsia="en-US"/>
        </w:rPr>
        <w:t xml:space="preserve"> средства резервного фонда </w:t>
      </w:r>
      <w:r w:rsidR="0090094B">
        <w:rPr>
          <w:rFonts w:eastAsia="Calibri"/>
          <w:lang w:eastAsia="en-US"/>
        </w:rPr>
        <w:t xml:space="preserve">исполнены в сумме </w:t>
      </w:r>
      <w:r w:rsidR="0090094B" w:rsidRPr="00070D4B">
        <w:rPr>
          <w:rFonts w:eastAsia="Calibri"/>
          <w:b/>
          <w:lang w:eastAsia="en-US"/>
        </w:rPr>
        <w:t>241,1</w:t>
      </w:r>
      <w:r w:rsidR="0090094B">
        <w:rPr>
          <w:rFonts w:eastAsia="Calibri"/>
          <w:lang w:eastAsia="en-US"/>
        </w:rPr>
        <w:t xml:space="preserve"> тыс. руб. или на </w:t>
      </w:r>
      <w:r w:rsidR="00070D4B">
        <w:rPr>
          <w:rFonts w:eastAsia="Calibri"/>
          <w:b/>
          <w:lang w:eastAsia="en-US"/>
        </w:rPr>
        <w:t>4</w:t>
      </w:r>
      <w:r w:rsidR="0090094B" w:rsidRPr="00070D4B">
        <w:rPr>
          <w:rFonts w:eastAsia="Calibri"/>
          <w:b/>
          <w:lang w:eastAsia="en-US"/>
        </w:rPr>
        <w:t>8,2%</w:t>
      </w:r>
      <w:r w:rsidR="0090094B">
        <w:rPr>
          <w:rFonts w:eastAsia="Calibri"/>
          <w:lang w:eastAsia="en-US"/>
        </w:rPr>
        <w:t xml:space="preserve"> и направлены </w:t>
      </w:r>
      <w:proofErr w:type="gramStart"/>
      <w:r w:rsidR="0090094B">
        <w:rPr>
          <w:rFonts w:eastAsia="Calibri"/>
          <w:lang w:eastAsia="en-US"/>
        </w:rPr>
        <w:t>на</w:t>
      </w:r>
      <w:proofErr w:type="gramEnd"/>
      <w:r w:rsidR="007B2D81" w:rsidRPr="007B2D81">
        <w:rPr>
          <w:rFonts w:eastAsia="Calibri"/>
          <w:lang w:eastAsia="en-US"/>
        </w:rPr>
        <w:t>:</w:t>
      </w:r>
    </w:p>
    <w:p w:rsidR="007B2D81" w:rsidRPr="007B2D81" w:rsidRDefault="007B2D81" w:rsidP="00100727">
      <w:pPr>
        <w:ind w:firstLine="709"/>
        <w:jc w:val="both"/>
        <w:rPr>
          <w:rFonts w:eastAsia="Calibri"/>
          <w:lang w:eastAsia="en-US"/>
        </w:rPr>
      </w:pPr>
      <w:r w:rsidRPr="007B2D81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выплату единовременной материальной помощи пострадавшим в результате пожара – 47 тыс. руб.</w:t>
      </w:r>
    </w:p>
    <w:p w:rsidR="007B2D81" w:rsidRDefault="007B2D81" w:rsidP="00100727">
      <w:pPr>
        <w:ind w:firstLine="709"/>
        <w:jc w:val="both"/>
        <w:rPr>
          <w:rFonts w:eastAsia="Calibri"/>
          <w:lang w:eastAsia="en-US"/>
        </w:rPr>
      </w:pPr>
      <w:r w:rsidRPr="007B2D81"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 xml:space="preserve">приобретение нефтепродуктов для пополнения резерва материальных ресурсов и использования для уменьшения риска возникновения чрезвычайной ситуации </w:t>
      </w:r>
      <w:r w:rsidR="00A62F9C">
        <w:rPr>
          <w:rFonts w:eastAsia="Calibri"/>
          <w:lang w:eastAsia="en-US"/>
        </w:rPr>
        <w:t xml:space="preserve">(для обеспечения водой котельных) </w:t>
      </w:r>
      <w:r>
        <w:rPr>
          <w:rFonts w:eastAsia="Calibri"/>
          <w:lang w:eastAsia="en-US"/>
        </w:rPr>
        <w:t>– 294,13 тыс. руб.</w:t>
      </w:r>
    </w:p>
    <w:p w:rsidR="000956DC" w:rsidRPr="006E399B" w:rsidRDefault="000956DC" w:rsidP="00100727">
      <w:pPr>
        <w:ind w:firstLine="709"/>
        <w:jc w:val="both"/>
        <w:rPr>
          <w:rFonts w:eastAsia="Calibri"/>
          <w:i/>
          <w:lang w:eastAsia="en-US"/>
        </w:rPr>
      </w:pPr>
      <w:r w:rsidRPr="006E399B">
        <w:rPr>
          <w:rFonts w:eastAsia="Calibri"/>
          <w:i/>
          <w:lang w:eastAsia="en-US"/>
        </w:rPr>
        <w:t xml:space="preserve">Следует отметить, что в отчете имеется </w:t>
      </w:r>
      <w:r w:rsidR="00070D4B">
        <w:rPr>
          <w:rFonts w:eastAsia="Calibri"/>
          <w:i/>
          <w:lang w:eastAsia="en-US"/>
        </w:rPr>
        <w:t>несоответствие</w:t>
      </w:r>
      <w:r w:rsidRPr="006E399B">
        <w:rPr>
          <w:rFonts w:eastAsia="Calibri"/>
          <w:i/>
          <w:lang w:eastAsia="en-US"/>
        </w:rPr>
        <w:t xml:space="preserve"> </w:t>
      </w:r>
      <w:proofErr w:type="gramStart"/>
      <w:r w:rsidRPr="006E399B">
        <w:rPr>
          <w:rFonts w:eastAsia="Calibri"/>
          <w:i/>
          <w:lang w:eastAsia="en-US"/>
        </w:rPr>
        <w:t xml:space="preserve">формулировки направления использования </w:t>
      </w:r>
      <w:r w:rsidR="001A680B">
        <w:rPr>
          <w:rFonts w:eastAsia="Calibri"/>
          <w:i/>
          <w:lang w:eastAsia="en-US"/>
        </w:rPr>
        <w:t xml:space="preserve">распределенных средств </w:t>
      </w:r>
      <w:r w:rsidRPr="006E399B">
        <w:rPr>
          <w:rFonts w:eastAsia="Calibri"/>
          <w:i/>
          <w:lang w:eastAsia="en-US"/>
        </w:rPr>
        <w:t>резервного фонда</w:t>
      </w:r>
      <w:proofErr w:type="gramEnd"/>
      <w:r w:rsidR="006E399B" w:rsidRPr="006E399B">
        <w:rPr>
          <w:rFonts w:eastAsia="Calibri"/>
          <w:i/>
          <w:lang w:eastAsia="en-US"/>
        </w:rPr>
        <w:t>.</w:t>
      </w:r>
      <w:r w:rsidRPr="006E399B">
        <w:rPr>
          <w:rFonts w:eastAsia="Calibri"/>
          <w:i/>
          <w:lang w:eastAsia="en-US"/>
        </w:rPr>
        <w:t xml:space="preserve"> </w:t>
      </w:r>
      <w:r w:rsidR="006E399B" w:rsidRPr="006E399B">
        <w:rPr>
          <w:rFonts w:eastAsia="Calibri"/>
          <w:i/>
          <w:lang w:eastAsia="en-US"/>
        </w:rPr>
        <w:t>В</w:t>
      </w:r>
      <w:r w:rsidR="007A4718">
        <w:rPr>
          <w:rFonts w:eastAsia="Calibri"/>
          <w:i/>
          <w:lang w:eastAsia="en-US"/>
        </w:rPr>
        <w:t xml:space="preserve"> сумму выплат</w:t>
      </w:r>
      <w:r w:rsidRPr="006E399B">
        <w:rPr>
          <w:rFonts w:eastAsia="Calibri"/>
          <w:i/>
          <w:lang w:eastAsia="en-US"/>
        </w:rPr>
        <w:t xml:space="preserve"> единовременной материальной помощи</w:t>
      </w:r>
      <w:r w:rsidR="006E399B" w:rsidRPr="006E399B">
        <w:rPr>
          <w:rFonts w:eastAsia="Calibri"/>
          <w:i/>
          <w:lang w:eastAsia="en-US"/>
        </w:rPr>
        <w:t xml:space="preserve"> пострадавшим в результате пожара </w:t>
      </w:r>
      <w:r w:rsidR="007A4718">
        <w:rPr>
          <w:rFonts w:eastAsia="Calibri"/>
          <w:i/>
          <w:lang w:eastAsia="en-US"/>
        </w:rPr>
        <w:t>(</w:t>
      </w:r>
      <w:r w:rsidRPr="006E399B">
        <w:rPr>
          <w:rFonts w:eastAsia="Calibri"/>
          <w:i/>
          <w:lang w:eastAsia="en-US"/>
        </w:rPr>
        <w:t>47 тыс. руб.</w:t>
      </w:r>
      <w:r w:rsidR="007A4718">
        <w:rPr>
          <w:rFonts w:eastAsia="Calibri"/>
          <w:i/>
          <w:lang w:eastAsia="en-US"/>
        </w:rPr>
        <w:t>)</w:t>
      </w:r>
      <w:r w:rsidRPr="006E399B">
        <w:rPr>
          <w:rFonts w:eastAsia="Calibri"/>
          <w:i/>
          <w:lang w:eastAsia="en-US"/>
        </w:rPr>
        <w:t xml:space="preserve"> включен</w:t>
      </w:r>
      <w:r w:rsidR="006E399B" w:rsidRPr="006E399B">
        <w:rPr>
          <w:rFonts w:eastAsia="Calibri"/>
          <w:i/>
          <w:lang w:eastAsia="en-US"/>
        </w:rPr>
        <w:t>а</w:t>
      </w:r>
      <w:r w:rsidRPr="006E399B">
        <w:rPr>
          <w:rFonts w:eastAsia="Calibri"/>
          <w:i/>
          <w:lang w:eastAsia="en-US"/>
        </w:rPr>
        <w:t xml:space="preserve"> выплат</w:t>
      </w:r>
      <w:r w:rsidR="006E399B" w:rsidRPr="006E399B">
        <w:rPr>
          <w:rFonts w:eastAsia="Calibri"/>
          <w:i/>
          <w:lang w:eastAsia="en-US"/>
        </w:rPr>
        <w:t>а</w:t>
      </w:r>
      <w:r w:rsidRPr="006E399B">
        <w:rPr>
          <w:rFonts w:eastAsia="Calibri"/>
          <w:i/>
          <w:lang w:eastAsia="en-US"/>
        </w:rPr>
        <w:t xml:space="preserve"> в сумме 2 тыс. руб.</w:t>
      </w:r>
      <w:r w:rsidR="00070D4B">
        <w:rPr>
          <w:rFonts w:eastAsia="Calibri"/>
          <w:i/>
          <w:lang w:eastAsia="en-US"/>
        </w:rPr>
        <w:t>,</w:t>
      </w:r>
      <w:r w:rsidRPr="006E399B">
        <w:rPr>
          <w:rFonts w:eastAsia="Calibri"/>
          <w:i/>
          <w:lang w:eastAsia="en-US"/>
        </w:rPr>
        <w:t xml:space="preserve"> направленн</w:t>
      </w:r>
      <w:r w:rsidR="006E399B" w:rsidRPr="006E399B">
        <w:rPr>
          <w:rFonts w:eastAsia="Calibri"/>
          <w:i/>
          <w:lang w:eastAsia="en-US"/>
        </w:rPr>
        <w:t>ая</w:t>
      </w:r>
      <w:r w:rsidRPr="006E399B">
        <w:rPr>
          <w:rFonts w:eastAsia="Calibri"/>
          <w:i/>
          <w:lang w:eastAsia="en-US"/>
        </w:rPr>
        <w:t xml:space="preserve"> </w:t>
      </w:r>
      <w:r w:rsidR="006E399B" w:rsidRPr="006E399B">
        <w:rPr>
          <w:rFonts w:eastAsia="Calibri"/>
          <w:i/>
          <w:lang w:eastAsia="en-US"/>
        </w:rPr>
        <w:t>для оказания материальной помощи гражданам, пострадавшим в свя</w:t>
      </w:r>
      <w:r w:rsidR="007A4718">
        <w:rPr>
          <w:rFonts w:eastAsia="Calibri"/>
          <w:i/>
          <w:lang w:eastAsia="en-US"/>
        </w:rPr>
        <w:t>зи с сильными ливневыми дождями.</w:t>
      </w:r>
    </w:p>
    <w:p w:rsidR="00F54599" w:rsidRDefault="00F54599" w:rsidP="00100727">
      <w:pPr>
        <w:ind w:firstLine="709"/>
        <w:jc w:val="both"/>
      </w:pPr>
    </w:p>
    <w:p w:rsidR="00860A50" w:rsidRDefault="00860A50" w:rsidP="00860A50">
      <w:pPr>
        <w:ind w:firstLine="567"/>
        <w:jc w:val="both"/>
        <w:rPr>
          <w:b/>
          <w:i/>
        </w:rPr>
      </w:pPr>
      <w:r>
        <w:rPr>
          <w:b/>
          <w:i/>
        </w:rPr>
        <w:t>Дорожный фонд</w:t>
      </w:r>
    </w:p>
    <w:p w:rsidR="00860A50" w:rsidRPr="00235F1C" w:rsidRDefault="00860A50" w:rsidP="00860A50">
      <w:pPr>
        <w:ind w:firstLine="567"/>
        <w:jc w:val="both"/>
      </w:pPr>
      <w:r w:rsidRPr="00235F1C">
        <w:t>Решением о бюджете Лесозаводского городского округа объем муниципального дорожного фонда на 20</w:t>
      </w:r>
      <w:r w:rsidR="00917626">
        <w:t>20</w:t>
      </w:r>
      <w:r w:rsidR="00100727">
        <w:t xml:space="preserve"> </w:t>
      </w:r>
      <w:r w:rsidRPr="00235F1C">
        <w:t xml:space="preserve">год  утвержден в размере </w:t>
      </w:r>
      <w:r w:rsidR="00F54599" w:rsidRPr="00070D4B">
        <w:rPr>
          <w:b/>
        </w:rPr>
        <w:t>31</w:t>
      </w:r>
      <w:r w:rsidR="00197ADB" w:rsidRPr="00070D4B">
        <w:rPr>
          <w:b/>
        </w:rPr>
        <w:t>641,0</w:t>
      </w:r>
      <w:r w:rsidRPr="00235F1C">
        <w:t xml:space="preserve"> тыс. руб.</w:t>
      </w:r>
    </w:p>
    <w:p w:rsidR="00860A50" w:rsidRDefault="00860A50" w:rsidP="00860A50">
      <w:pPr>
        <w:ind w:firstLine="567"/>
        <w:jc w:val="both"/>
        <w:rPr>
          <w:lang w:eastAsia="en-US"/>
        </w:rPr>
      </w:pPr>
      <w:r w:rsidRPr="00F97CED">
        <w:t>Бюджетные ассигнования фонда сформированы от прогнозируемых доходных источников:</w:t>
      </w:r>
      <w:r w:rsidRPr="00235F1C">
        <w:t xml:space="preserve"> акцизы</w:t>
      </w:r>
      <w:r w:rsidR="00F54599">
        <w:t xml:space="preserve"> </w:t>
      </w:r>
      <w:r w:rsidRPr="00235F1C">
        <w:t xml:space="preserve">– </w:t>
      </w:r>
      <w:r w:rsidR="00197ADB">
        <w:t>24729</w:t>
      </w:r>
      <w:r w:rsidR="00F54599">
        <w:t xml:space="preserve"> </w:t>
      </w:r>
      <w:proofErr w:type="spellStart"/>
      <w:r w:rsidRPr="00235F1C">
        <w:t>тыс</w:t>
      </w:r>
      <w:proofErr w:type="gramStart"/>
      <w:r w:rsidRPr="00235F1C">
        <w:t>.р</w:t>
      </w:r>
      <w:proofErr w:type="gramEnd"/>
      <w:r w:rsidRPr="00235F1C">
        <w:t>уб</w:t>
      </w:r>
      <w:proofErr w:type="spellEnd"/>
      <w:r w:rsidRPr="00235F1C">
        <w:t xml:space="preserve">., </w:t>
      </w:r>
      <w:r w:rsidR="00F54599">
        <w:rPr>
          <w:bCs/>
          <w:color w:val="000000"/>
        </w:rPr>
        <w:t xml:space="preserve">субсидии из дорожного фонда Приморского края – </w:t>
      </w:r>
      <w:r w:rsidR="00197ADB">
        <w:rPr>
          <w:bCs/>
          <w:color w:val="000000"/>
        </w:rPr>
        <w:t>4000</w:t>
      </w:r>
      <w:r w:rsidR="00F54599">
        <w:rPr>
          <w:bCs/>
          <w:color w:val="000000"/>
        </w:rPr>
        <w:t xml:space="preserve"> тыс.</w:t>
      </w:r>
      <w:r w:rsidR="00413E80">
        <w:rPr>
          <w:bCs/>
          <w:color w:val="000000"/>
        </w:rPr>
        <w:t xml:space="preserve"> </w:t>
      </w:r>
      <w:r w:rsidR="00F54599">
        <w:rPr>
          <w:bCs/>
          <w:color w:val="000000"/>
        </w:rPr>
        <w:t>руб.</w:t>
      </w:r>
      <w:r w:rsidR="00197ADB">
        <w:rPr>
          <w:bCs/>
          <w:color w:val="000000"/>
        </w:rPr>
        <w:t>, неиспользованн</w:t>
      </w:r>
      <w:r w:rsidR="00C30C7C">
        <w:rPr>
          <w:bCs/>
          <w:color w:val="000000"/>
        </w:rPr>
        <w:t>ый</w:t>
      </w:r>
      <w:r w:rsidR="00197ADB">
        <w:rPr>
          <w:bCs/>
          <w:color w:val="000000"/>
        </w:rPr>
        <w:t xml:space="preserve"> остат</w:t>
      </w:r>
      <w:r w:rsidR="00C30C7C">
        <w:rPr>
          <w:bCs/>
          <w:color w:val="000000"/>
        </w:rPr>
        <w:t>о</w:t>
      </w:r>
      <w:r w:rsidR="00197ADB">
        <w:rPr>
          <w:bCs/>
          <w:color w:val="000000"/>
        </w:rPr>
        <w:t xml:space="preserve">к </w:t>
      </w:r>
      <w:r w:rsidR="005831FD">
        <w:rPr>
          <w:bCs/>
          <w:color w:val="000000"/>
        </w:rPr>
        <w:t>на 01.01.20</w:t>
      </w:r>
      <w:r w:rsidR="00070D4B">
        <w:rPr>
          <w:bCs/>
          <w:color w:val="000000"/>
        </w:rPr>
        <w:t>20</w:t>
      </w:r>
      <w:r w:rsidR="005831FD">
        <w:rPr>
          <w:bCs/>
          <w:color w:val="000000"/>
        </w:rPr>
        <w:t xml:space="preserve"> </w:t>
      </w:r>
      <w:r w:rsidR="00197ADB">
        <w:rPr>
          <w:bCs/>
          <w:color w:val="000000"/>
        </w:rPr>
        <w:t>– 2912 тыс. руб.</w:t>
      </w:r>
    </w:p>
    <w:p w:rsidR="00860A50" w:rsidRPr="00F97CED" w:rsidRDefault="00860A50" w:rsidP="00860A50">
      <w:pPr>
        <w:ind w:firstLine="567"/>
        <w:jc w:val="both"/>
      </w:pPr>
      <w:r w:rsidRPr="00235F1C">
        <w:t>За 1 квартал 20</w:t>
      </w:r>
      <w:r w:rsidR="00070D4B">
        <w:t>20</w:t>
      </w:r>
      <w:r w:rsidR="00F54599">
        <w:t xml:space="preserve"> </w:t>
      </w:r>
      <w:r w:rsidRPr="00235F1C">
        <w:t xml:space="preserve">года </w:t>
      </w:r>
      <w:r w:rsidRPr="00F97CED">
        <w:t>поступлени</w:t>
      </w:r>
      <w:r w:rsidR="00F54599">
        <w:t xml:space="preserve">я </w:t>
      </w:r>
      <w:r w:rsidRPr="00F97CED">
        <w:t>дорожного фонда составил</w:t>
      </w:r>
      <w:r w:rsidR="00F54599">
        <w:t>и</w:t>
      </w:r>
      <w:r w:rsidRPr="00F97CED">
        <w:t xml:space="preserve"> в сумме </w:t>
      </w:r>
      <w:r w:rsidR="00F54599">
        <w:rPr>
          <w:b/>
        </w:rPr>
        <w:t>5</w:t>
      </w:r>
      <w:r w:rsidR="005831FD">
        <w:rPr>
          <w:b/>
        </w:rPr>
        <w:t>381,8</w:t>
      </w:r>
      <w:r w:rsidRPr="00235F1C">
        <w:rPr>
          <w:b/>
        </w:rPr>
        <w:t xml:space="preserve"> </w:t>
      </w:r>
      <w:r w:rsidRPr="00235F1C">
        <w:t>тыс.</w:t>
      </w:r>
      <w:r w:rsidR="00413E80">
        <w:t xml:space="preserve"> </w:t>
      </w:r>
      <w:r w:rsidRPr="00235F1C">
        <w:t>руб</w:t>
      </w:r>
      <w:r w:rsidRPr="00235F1C">
        <w:rPr>
          <w:b/>
        </w:rPr>
        <w:t>.</w:t>
      </w:r>
      <w:r w:rsidRPr="00235F1C">
        <w:t xml:space="preserve"> от поступивших акцизов на </w:t>
      </w:r>
      <w:r w:rsidR="00C30C7C">
        <w:t>нефтепродукты</w:t>
      </w:r>
      <w:r w:rsidRPr="0008044B">
        <w:t>.</w:t>
      </w:r>
    </w:p>
    <w:p w:rsidR="00860A50" w:rsidRPr="00F97CED" w:rsidRDefault="00860A50" w:rsidP="00860A50">
      <w:pPr>
        <w:ind w:firstLine="567"/>
        <w:jc w:val="both"/>
      </w:pPr>
      <w:r w:rsidRPr="00F97CED">
        <w:t>Кассовое исполнение  средств дорожного фонда составил</w:t>
      </w:r>
      <w:r w:rsidRPr="0008044B">
        <w:t>о</w:t>
      </w:r>
      <w:r w:rsidRPr="00F97CED">
        <w:t xml:space="preserve"> в сумме </w:t>
      </w:r>
      <w:r w:rsidR="00F54599">
        <w:rPr>
          <w:b/>
        </w:rPr>
        <w:t>3</w:t>
      </w:r>
      <w:r w:rsidR="005831FD">
        <w:rPr>
          <w:b/>
        </w:rPr>
        <w:t>617</w:t>
      </w:r>
      <w:r w:rsidR="00F54599">
        <w:rPr>
          <w:b/>
        </w:rPr>
        <w:t>,</w:t>
      </w:r>
      <w:r w:rsidR="005831FD">
        <w:rPr>
          <w:b/>
        </w:rPr>
        <w:t>3</w:t>
      </w:r>
      <w:r w:rsidRPr="0008044B">
        <w:t xml:space="preserve"> тыс. руб.</w:t>
      </w:r>
      <w:r w:rsidRPr="00F97CED">
        <w:rPr>
          <w:i/>
        </w:rPr>
        <w:t xml:space="preserve"> </w:t>
      </w:r>
      <w:r w:rsidRPr="00F97CED">
        <w:t xml:space="preserve">или </w:t>
      </w:r>
      <w:r w:rsidR="005A5D58">
        <w:rPr>
          <w:b/>
        </w:rPr>
        <w:t>11</w:t>
      </w:r>
      <w:r w:rsidR="005831FD">
        <w:rPr>
          <w:b/>
        </w:rPr>
        <w:t>,4</w:t>
      </w:r>
      <w:r w:rsidRPr="00F97CED">
        <w:rPr>
          <w:b/>
        </w:rPr>
        <w:t>%</w:t>
      </w:r>
      <w:r w:rsidRPr="00F97CED">
        <w:t xml:space="preserve"> к утвержденному объему бюджетных ассигнований</w:t>
      </w:r>
      <w:r w:rsidR="005831FD">
        <w:t xml:space="preserve"> (31641,0 тыс. руб.)</w:t>
      </w:r>
      <w:r w:rsidR="005A5D58">
        <w:t>.</w:t>
      </w:r>
    </w:p>
    <w:p w:rsidR="00860A50" w:rsidRDefault="00860A50" w:rsidP="00860A50">
      <w:pPr>
        <w:ind w:firstLine="709"/>
        <w:jc w:val="both"/>
        <w:rPr>
          <w:bCs/>
          <w:color w:val="000000"/>
        </w:rPr>
      </w:pPr>
      <w:r w:rsidRPr="0008044B">
        <w:t xml:space="preserve">Согласно отчету об использовании бюджетных ассигнований дорожного фонда, ассигнования направлены на выполнение мероприятий муниципальной программы </w:t>
      </w:r>
      <w:r w:rsidR="005A5D58">
        <w:rPr>
          <w:bCs/>
          <w:color w:val="000000"/>
        </w:rPr>
        <w:t>«</w:t>
      </w:r>
      <w:r w:rsidRPr="0008044B">
        <w:rPr>
          <w:bCs/>
          <w:color w:val="000000"/>
        </w:rPr>
        <w:t>Модернизация дорожной сети  Лесозаводского городского округа</w:t>
      </w:r>
      <w:r w:rsidR="005A5D58">
        <w:rPr>
          <w:bCs/>
          <w:color w:val="000000"/>
        </w:rPr>
        <w:t>»,</w:t>
      </w:r>
      <w:r w:rsidRPr="0008044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 том числе:  </w:t>
      </w:r>
    </w:p>
    <w:p w:rsidR="00860A50" w:rsidRDefault="00860A50" w:rsidP="00860A50">
      <w:pPr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текущее содержание и ремонт улично-дорожной сети </w:t>
      </w:r>
      <w:r w:rsidR="00C30C7C">
        <w:rPr>
          <w:bCs/>
          <w:color w:val="000000"/>
        </w:rPr>
        <w:t>-</w:t>
      </w:r>
      <w:r w:rsidRPr="0008044B">
        <w:t xml:space="preserve"> </w:t>
      </w:r>
      <w:r w:rsidR="005A5D58">
        <w:rPr>
          <w:bCs/>
          <w:color w:val="000000"/>
        </w:rPr>
        <w:t>34</w:t>
      </w:r>
      <w:r w:rsidR="00C30C7C">
        <w:rPr>
          <w:bCs/>
          <w:color w:val="000000"/>
        </w:rPr>
        <w:t>23</w:t>
      </w:r>
      <w:r w:rsidR="005A5D58">
        <w:rPr>
          <w:bCs/>
          <w:color w:val="000000"/>
        </w:rPr>
        <w:t>,</w:t>
      </w:r>
      <w:r w:rsidR="00070D4B">
        <w:rPr>
          <w:bCs/>
          <w:color w:val="000000"/>
        </w:rPr>
        <w:t>2</w:t>
      </w:r>
      <w:r w:rsidRPr="0008044B">
        <w:rPr>
          <w:bCs/>
          <w:color w:val="000000"/>
        </w:rPr>
        <w:t xml:space="preserve"> тыс.</w:t>
      </w:r>
      <w:r w:rsidR="00413E80">
        <w:rPr>
          <w:bCs/>
          <w:color w:val="000000"/>
        </w:rPr>
        <w:t xml:space="preserve"> </w:t>
      </w:r>
      <w:r w:rsidRPr="0008044B">
        <w:rPr>
          <w:bCs/>
          <w:color w:val="000000"/>
        </w:rPr>
        <w:t xml:space="preserve">руб. или </w:t>
      </w:r>
      <w:r w:rsidR="00C30C7C">
        <w:rPr>
          <w:bCs/>
          <w:color w:val="000000"/>
        </w:rPr>
        <w:t>17,5</w:t>
      </w:r>
      <w:r w:rsidRPr="0008044B">
        <w:rPr>
          <w:bCs/>
          <w:color w:val="000000"/>
        </w:rPr>
        <w:t xml:space="preserve">% </w:t>
      </w:r>
      <w:r w:rsidRPr="0008044B">
        <w:t xml:space="preserve">при утвержденном  годовом плане </w:t>
      </w:r>
      <w:r w:rsidR="00070D4B">
        <w:t>19604,0</w:t>
      </w:r>
      <w:r w:rsidRPr="0008044B">
        <w:t xml:space="preserve"> тыс. руб.;</w:t>
      </w:r>
    </w:p>
    <w:p w:rsidR="00860A50" w:rsidRDefault="00860A50" w:rsidP="00860A50">
      <w:pPr>
        <w:ind w:firstLine="709"/>
        <w:jc w:val="both"/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повышение уровня безопасности дорожного движения в Лесозаводском городском округе </w:t>
      </w:r>
      <w:r w:rsidR="00C30C7C">
        <w:rPr>
          <w:bCs/>
          <w:color w:val="000000"/>
        </w:rPr>
        <w:t>–</w:t>
      </w:r>
      <w:r w:rsidRPr="0008044B">
        <w:t xml:space="preserve"> </w:t>
      </w:r>
      <w:r w:rsidR="00C30C7C">
        <w:t>194,1</w:t>
      </w:r>
      <w:r w:rsidRPr="0008044B">
        <w:rPr>
          <w:bCs/>
          <w:color w:val="000000"/>
        </w:rPr>
        <w:t xml:space="preserve"> тыс.</w:t>
      </w:r>
      <w:r w:rsidR="00413E80">
        <w:rPr>
          <w:bCs/>
          <w:color w:val="000000"/>
        </w:rPr>
        <w:t xml:space="preserve"> </w:t>
      </w:r>
      <w:r w:rsidRPr="0008044B">
        <w:rPr>
          <w:bCs/>
          <w:color w:val="000000"/>
        </w:rPr>
        <w:t>руб.</w:t>
      </w:r>
      <w:r w:rsidRPr="0008044B">
        <w:t xml:space="preserve"> </w:t>
      </w:r>
      <w:r>
        <w:t xml:space="preserve">или </w:t>
      </w:r>
      <w:r w:rsidR="00C30C7C">
        <w:t>9</w:t>
      </w:r>
      <w:r w:rsidR="005A5D58">
        <w:t>,7</w:t>
      </w:r>
      <w:r>
        <w:t xml:space="preserve">% </w:t>
      </w:r>
      <w:r w:rsidRPr="0008044B">
        <w:t>при утвержденном  годовом плане 2000 тыс. руб.</w:t>
      </w:r>
    </w:p>
    <w:p w:rsidR="0076252A" w:rsidRPr="00952C22" w:rsidRDefault="0076252A" w:rsidP="0076252A">
      <w:pPr>
        <w:autoSpaceDE w:val="0"/>
        <w:autoSpaceDN w:val="0"/>
        <w:adjustRightInd w:val="0"/>
        <w:ind w:firstLine="708"/>
        <w:jc w:val="both"/>
      </w:pPr>
      <w:r w:rsidRPr="000F0CC4">
        <w:lastRenderedPageBreak/>
        <w:t>Остаток средств дорожного фонда на 01.04.201</w:t>
      </w:r>
      <w:r>
        <w:t xml:space="preserve">9, с учетом неиспользованного остатка на начало года, </w:t>
      </w:r>
      <w:r w:rsidRPr="00952C22">
        <w:t xml:space="preserve"> составляет </w:t>
      </w:r>
      <w:r>
        <w:t>4676,5</w:t>
      </w:r>
      <w:r w:rsidRPr="00952C22">
        <w:rPr>
          <w:b/>
        </w:rPr>
        <w:t xml:space="preserve"> </w:t>
      </w:r>
      <w:r w:rsidRPr="00952C22">
        <w:t>тыс. руб.</w:t>
      </w:r>
    </w:p>
    <w:p w:rsidR="0076252A" w:rsidRDefault="0076252A" w:rsidP="00860A50">
      <w:pPr>
        <w:ind w:firstLine="709"/>
        <w:jc w:val="both"/>
      </w:pPr>
    </w:p>
    <w:p w:rsidR="00860A50" w:rsidRDefault="00860A50" w:rsidP="006641F2">
      <w:pPr>
        <w:autoSpaceDE w:val="0"/>
        <w:autoSpaceDN w:val="0"/>
        <w:adjustRightInd w:val="0"/>
        <w:jc w:val="both"/>
        <w:rPr>
          <w:b/>
        </w:rPr>
      </w:pPr>
      <w:r>
        <w:rPr>
          <w:rFonts w:eastAsia="Calibri"/>
          <w:lang w:eastAsia="en-US"/>
        </w:rPr>
        <w:t xml:space="preserve">         </w:t>
      </w:r>
      <w:r w:rsidR="00B17E66">
        <w:rPr>
          <w:b/>
          <w:spacing w:val="-4"/>
        </w:rPr>
        <w:t>6</w:t>
      </w:r>
      <w:r w:rsidRPr="00813828">
        <w:rPr>
          <w:b/>
          <w:spacing w:val="-4"/>
        </w:rPr>
        <w:t xml:space="preserve">. </w:t>
      </w:r>
      <w:r w:rsidRPr="007B7770">
        <w:rPr>
          <w:b/>
        </w:rPr>
        <w:t>Дефицит бюджета</w:t>
      </w:r>
      <w:r w:rsidR="00527642">
        <w:rPr>
          <w:b/>
        </w:rPr>
        <w:t>. Муниципальный долг.</w:t>
      </w:r>
    </w:p>
    <w:p w:rsidR="006641F2" w:rsidRDefault="006641F2" w:rsidP="009E44A9">
      <w:pPr>
        <w:ind w:firstLine="709"/>
        <w:contextualSpacing/>
        <w:jc w:val="both"/>
        <w:rPr>
          <w:spacing w:val="-4"/>
        </w:rPr>
      </w:pPr>
    </w:p>
    <w:p w:rsidR="00860A50" w:rsidRPr="00922148" w:rsidRDefault="009E44A9" w:rsidP="00B00424">
      <w:pPr>
        <w:ind w:firstLine="709"/>
        <w:contextualSpacing/>
        <w:jc w:val="both"/>
      </w:pPr>
      <w:r w:rsidRPr="009E44A9">
        <w:rPr>
          <w:spacing w:val="-4"/>
        </w:rPr>
        <w:t>В соответствии  с  Отчетом  б</w:t>
      </w:r>
      <w:r w:rsidRPr="009E44A9">
        <w:t xml:space="preserve">юджет Лесозаводского городского округа  за </w:t>
      </w:r>
      <w:r>
        <w:t>1 квартал</w:t>
      </w:r>
      <w:r w:rsidRPr="009E44A9">
        <w:t xml:space="preserve"> 20</w:t>
      </w:r>
      <w:r w:rsidR="00A42679">
        <w:t>20</w:t>
      </w:r>
      <w:r w:rsidRPr="009E44A9">
        <w:t xml:space="preserve"> года исполнен с дефицитом в сумме </w:t>
      </w:r>
      <w:r w:rsidR="00A42679" w:rsidRPr="006622CA">
        <w:rPr>
          <w:b/>
        </w:rPr>
        <w:t>8102,1</w:t>
      </w:r>
      <w:r w:rsidRPr="009E44A9">
        <w:t xml:space="preserve"> тыс. руб. при  плановом дефиците </w:t>
      </w:r>
      <w:r w:rsidR="00A42679">
        <w:t>16600</w:t>
      </w:r>
      <w:r w:rsidRPr="009E44A9">
        <w:t xml:space="preserve"> тыс. руб.</w:t>
      </w:r>
      <w:r w:rsidR="00B00424">
        <w:t xml:space="preserve"> </w:t>
      </w:r>
      <w:r>
        <w:t>В аналогичном периоде 20</w:t>
      </w:r>
      <w:r w:rsidR="00B00424">
        <w:t>19</w:t>
      </w:r>
      <w:r w:rsidR="00860A50" w:rsidRPr="00922148">
        <w:t xml:space="preserve"> года бюджет был исполнен с дефицитом в сумме </w:t>
      </w:r>
      <w:r w:rsidR="00A86A3D">
        <w:t>7738</w:t>
      </w:r>
      <w:r w:rsidR="00860A50" w:rsidRPr="00922148">
        <w:t xml:space="preserve"> тыс.</w:t>
      </w:r>
      <w:r w:rsidR="00413E80">
        <w:t xml:space="preserve"> </w:t>
      </w:r>
      <w:r w:rsidR="00860A50" w:rsidRPr="00922148">
        <w:t>руб</w:t>
      </w:r>
      <w:r>
        <w:t>.</w:t>
      </w:r>
    </w:p>
    <w:p w:rsidR="00860A50" w:rsidRPr="00792635" w:rsidRDefault="00860A50" w:rsidP="00860A50">
      <w:pPr>
        <w:pStyle w:val="Default"/>
        <w:jc w:val="both"/>
      </w:pPr>
      <w:r>
        <w:t xml:space="preserve"> </w:t>
      </w:r>
      <w:r w:rsidRPr="008F3B4B">
        <w:t xml:space="preserve"> </w:t>
      </w:r>
      <w:r w:rsidRPr="008F3B4B">
        <w:rPr>
          <w:spacing w:val="-4"/>
        </w:rPr>
        <w:t xml:space="preserve">       </w:t>
      </w:r>
      <w:r w:rsidRPr="008F3B4B">
        <w:rPr>
          <w:b/>
          <w:i/>
        </w:rPr>
        <w:t xml:space="preserve"> </w:t>
      </w:r>
      <w:r w:rsidRPr="00792635">
        <w:t>За отчетный период кредитные средства не привлекались и не погашались</w:t>
      </w:r>
      <w:r>
        <w:t>.</w:t>
      </w:r>
    </w:p>
    <w:p w:rsidR="00BE71B4" w:rsidRDefault="00860A50" w:rsidP="00860A50">
      <w:pPr>
        <w:pStyle w:val="a3"/>
        <w:autoSpaceDE w:val="0"/>
        <w:autoSpaceDN w:val="0"/>
        <w:adjustRightInd w:val="0"/>
        <w:ind w:left="0"/>
        <w:jc w:val="both"/>
        <w:rPr>
          <w:lang w:eastAsia="en-US" w:bidi="en-US"/>
        </w:rPr>
      </w:pPr>
      <w:r>
        <w:t xml:space="preserve">          </w:t>
      </w:r>
      <w:r w:rsidRPr="008F3B4B">
        <w:t>Источник</w:t>
      </w:r>
      <w:r>
        <w:t>ами</w:t>
      </w:r>
      <w:r w:rsidRPr="008F3B4B">
        <w:t xml:space="preserve"> финансирования дефицита бюджета Лесозаводского городского округа в 1 квартале 20</w:t>
      </w:r>
      <w:r w:rsidR="00B00424">
        <w:t>20</w:t>
      </w:r>
      <w:r>
        <w:t xml:space="preserve"> </w:t>
      </w:r>
      <w:r w:rsidRPr="008F3B4B">
        <w:t>года явля</w:t>
      </w:r>
      <w:r>
        <w:t>е</w:t>
      </w:r>
      <w:r w:rsidRPr="008F3B4B">
        <w:t>тся изменение остатков средств на счетах по учету средств бюджета городского округа в сумме</w:t>
      </w:r>
      <w:r w:rsidRPr="00162D0C">
        <w:t xml:space="preserve"> </w:t>
      </w:r>
      <w:r w:rsidR="00B00424">
        <w:t>8102,1</w:t>
      </w:r>
      <w:r w:rsidRPr="008F3B4B">
        <w:t xml:space="preserve"> тыс. руб.</w:t>
      </w:r>
      <w:r w:rsidR="00162D0C" w:rsidRPr="00162D0C">
        <w:rPr>
          <w:lang w:eastAsia="en-US" w:bidi="en-US"/>
        </w:rPr>
        <w:t xml:space="preserve"> </w:t>
      </w:r>
    </w:p>
    <w:p w:rsidR="00BE71B4" w:rsidRPr="00792635" w:rsidRDefault="00BE71B4" w:rsidP="008B6CB4">
      <w:pPr>
        <w:pStyle w:val="a3"/>
        <w:autoSpaceDE w:val="0"/>
        <w:autoSpaceDN w:val="0"/>
        <w:adjustRightInd w:val="0"/>
        <w:ind w:left="0" w:firstLine="708"/>
        <w:jc w:val="both"/>
      </w:pPr>
      <w:r>
        <w:rPr>
          <w:lang w:eastAsia="en-US" w:bidi="en-US"/>
        </w:rPr>
        <w:t>О</w:t>
      </w:r>
      <w:r w:rsidR="00162D0C" w:rsidRPr="00162D0C">
        <w:rPr>
          <w:lang w:eastAsia="en-US" w:bidi="en-US"/>
        </w:rPr>
        <w:t>статки бюджетных средств на 01.01.20</w:t>
      </w:r>
      <w:r w:rsidR="00B00424">
        <w:rPr>
          <w:lang w:eastAsia="en-US" w:bidi="en-US"/>
        </w:rPr>
        <w:t>20</w:t>
      </w:r>
      <w:r w:rsidR="00162D0C" w:rsidRPr="00162D0C">
        <w:rPr>
          <w:lang w:eastAsia="en-US" w:bidi="en-US"/>
        </w:rPr>
        <w:t xml:space="preserve"> </w:t>
      </w:r>
      <w:r w:rsidR="00B00424">
        <w:rPr>
          <w:lang w:eastAsia="en-US" w:bidi="en-US"/>
        </w:rPr>
        <w:t>составили 40080,2</w:t>
      </w:r>
      <w:r w:rsidR="00162D0C" w:rsidRPr="00162D0C">
        <w:rPr>
          <w:lang w:eastAsia="en-US" w:bidi="en-US"/>
        </w:rPr>
        <w:t xml:space="preserve"> тыс. руб.</w:t>
      </w:r>
      <w:r w:rsidRPr="00BE71B4">
        <w:rPr>
          <w:lang w:eastAsia="en-US" w:bidi="en-US"/>
        </w:rPr>
        <w:t>:</w:t>
      </w:r>
      <w:r w:rsidRPr="00792635">
        <w:t xml:space="preserve"> средства местного бюджета </w:t>
      </w:r>
      <w:r>
        <w:t>–</w:t>
      </w:r>
      <w:r w:rsidRPr="00792635">
        <w:t xml:space="preserve"> </w:t>
      </w:r>
      <w:r>
        <w:t>21942,9</w:t>
      </w:r>
      <w:r w:rsidRPr="0079133F">
        <w:t xml:space="preserve"> тыс.</w:t>
      </w:r>
      <w:r w:rsidRPr="00792635">
        <w:t xml:space="preserve"> руб</w:t>
      </w:r>
      <w:r>
        <w:t>.,</w:t>
      </w:r>
      <w:r w:rsidRPr="00792635">
        <w:t xml:space="preserve"> средства</w:t>
      </w:r>
      <w:r>
        <w:t xml:space="preserve"> вышестоящих </w:t>
      </w:r>
      <w:r w:rsidRPr="00792635">
        <w:t>бюджет</w:t>
      </w:r>
      <w:r>
        <w:t>ов</w:t>
      </w:r>
      <w:r w:rsidRPr="00792635">
        <w:t xml:space="preserve"> –</w:t>
      </w:r>
      <w:r>
        <w:t xml:space="preserve"> 18137,3 </w:t>
      </w:r>
      <w:r w:rsidRPr="00792635">
        <w:t>тыс. руб</w:t>
      </w:r>
      <w:r>
        <w:t>.</w:t>
      </w:r>
      <w:r w:rsidRPr="00792635">
        <w:t xml:space="preserve"> </w:t>
      </w:r>
    </w:p>
    <w:p w:rsidR="00860A50" w:rsidRPr="00792635" w:rsidRDefault="00B00424" w:rsidP="00860A50">
      <w:pPr>
        <w:autoSpaceDE w:val="0"/>
        <w:autoSpaceDN w:val="0"/>
        <w:adjustRightInd w:val="0"/>
        <w:ind w:firstLine="709"/>
        <w:jc w:val="both"/>
      </w:pPr>
      <w:r>
        <w:t>Остатк</w:t>
      </w:r>
      <w:r w:rsidR="00BE71B4">
        <w:t>и</w:t>
      </w:r>
      <w:r>
        <w:t xml:space="preserve"> неиспользованных средств </w:t>
      </w:r>
      <w:r w:rsidR="00860A50" w:rsidRPr="00792635">
        <w:t>на 01.04.20</w:t>
      </w:r>
      <w:r>
        <w:t>20</w:t>
      </w:r>
      <w:r w:rsidR="00860A50" w:rsidRPr="00792635">
        <w:t xml:space="preserve"> </w:t>
      </w:r>
      <w:r w:rsidR="00BE71B4">
        <w:t xml:space="preserve">составили </w:t>
      </w:r>
      <w:r w:rsidR="00C44600">
        <w:t>31978,2 тыс. руб.</w:t>
      </w:r>
      <w:r w:rsidR="00860A50" w:rsidRPr="00792635">
        <w:t xml:space="preserve">: средства местного бюджета </w:t>
      </w:r>
      <w:r w:rsidR="0079133F">
        <w:t>–</w:t>
      </w:r>
      <w:r w:rsidR="00860A50" w:rsidRPr="00792635">
        <w:t xml:space="preserve"> </w:t>
      </w:r>
      <w:r>
        <w:t>21657,4</w:t>
      </w:r>
      <w:r w:rsidR="00860A50" w:rsidRPr="0079133F">
        <w:t xml:space="preserve"> тыс.</w:t>
      </w:r>
      <w:r w:rsidR="00860A50" w:rsidRPr="00792635">
        <w:t xml:space="preserve"> руб</w:t>
      </w:r>
      <w:r w:rsidR="00860A50">
        <w:t>.</w:t>
      </w:r>
      <w:r w:rsidR="00C44600">
        <w:t>,</w:t>
      </w:r>
      <w:r w:rsidR="00860A50" w:rsidRPr="00792635">
        <w:t xml:space="preserve"> средства</w:t>
      </w:r>
      <w:r w:rsidR="00860A50">
        <w:t xml:space="preserve"> </w:t>
      </w:r>
      <w:r w:rsidR="00C44600">
        <w:t xml:space="preserve">вышестоящих </w:t>
      </w:r>
      <w:r w:rsidR="00860A50" w:rsidRPr="00792635">
        <w:t>бюджет</w:t>
      </w:r>
      <w:r w:rsidR="00C44600">
        <w:t>ов</w:t>
      </w:r>
      <w:r w:rsidR="00860A50" w:rsidRPr="00792635">
        <w:t xml:space="preserve"> –</w:t>
      </w:r>
      <w:r w:rsidR="00860A50">
        <w:t xml:space="preserve"> </w:t>
      </w:r>
      <w:r w:rsidR="00C44600">
        <w:t>10320,8</w:t>
      </w:r>
      <w:r w:rsidR="0079133F">
        <w:t xml:space="preserve"> </w:t>
      </w:r>
      <w:r w:rsidR="00860A50" w:rsidRPr="00792635">
        <w:t>тыс. руб</w:t>
      </w:r>
      <w:r w:rsidR="00413E80">
        <w:t>.</w:t>
      </w:r>
    </w:p>
    <w:p w:rsidR="00860A50" w:rsidRPr="00792635" w:rsidRDefault="00860A50" w:rsidP="00860A5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4D17">
        <w:rPr>
          <w:b/>
          <w:i/>
          <w:color w:val="000000"/>
        </w:rPr>
        <w:t>Муниципальный</w:t>
      </w:r>
      <w:r w:rsidR="00084D17" w:rsidRPr="00084D17">
        <w:rPr>
          <w:b/>
          <w:i/>
          <w:color w:val="000000"/>
        </w:rPr>
        <w:t xml:space="preserve"> внутренний </w:t>
      </w:r>
      <w:r w:rsidRPr="00084D17">
        <w:rPr>
          <w:b/>
          <w:i/>
          <w:color w:val="000000"/>
        </w:rPr>
        <w:t>долг</w:t>
      </w:r>
      <w:r w:rsidRPr="00792635">
        <w:rPr>
          <w:color w:val="000000"/>
        </w:rPr>
        <w:t xml:space="preserve"> </w:t>
      </w:r>
      <w:r w:rsidR="00084D17">
        <w:rPr>
          <w:color w:val="000000"/>
        </w:rPr>
        <w:t xml:space="preserve"> </w:t>
      </w:r>
      <w:r w:rsidRPr="00782F4A">
        <w:rPr>
          <w:bCs/>
        </w:rPr>
        <w:t xml:space="preserve">Лесозаводского городского округа </w:t>
      </w:r>
      <w:r w:rsidR="000B3C88">
        <w:rPr>
          <w:bCs/>
        </w:rPr>
        <w:t xml:space="preserve">по сравнению с началом года </w:t>
      </w:r>
      <w:r w:rsidRPr="0083248F">
        <w:rPr>
          <w:color w:val="000000"/>
        </w:rPr>
        <w:t>не изменился и</w:t>
      </w:r>
      <w:r>
        <w:rPr>
          <w:b/>
          <w:color w:val="000000"/>
        </w:rPr>
        <w:t xml:space="preserve"> </w:t>
      </w:r>
      <w:r w:rsidRPr="00E552D3">
        <w:rPr>
          <w:color w:val="000000"/>
        </w:rPr>
        <w:t>на 01.04.20</w:t>
      </w:r>
      <w:r w:rsidR="00BE71B4">
        <w:rPr>
          <w:color w:val="000000"/>
        </w:rPr>
        <w:t>20</w:t>
      </w:r>
      <w:r w:rsidRPr="00251D9A">
        <w:rPr>
          <w:b/>
          <w:color w:val="000000"/>
        </w:rPr>
        <w:t xml:space="preserve"> </w:t>
      </w:r>
      <w:r w:rsidRPr="00251D9A">
        <w:rPr>
          <w:color w:val="000000"/>
        </w:rPr>
        <w:t>состав</w:t>
      </w:r>
      <w:r w:rsidR="00BE71B4">
        <w:rPr>
          <w:color w:val="000000"/>
        </w:rPr>
        <w:t>и</w:t>
      </w:r>
      <w:r w:rsidRPr="00251D9A">
        <w:rPr>
          <w:color w:val="000000"/>
        </w:rPr>
        <w:t>л</w:t>
      </w:r>
      <w:r w:rsidRPr="00251D9A">
        <w:rPr>
          <w:b/>
          <w:color w:val="000000"/>
        </w:rPr>
        <w:t xml:space="preserve"> </w:t>
      </w:r>
      <w:r w:rsidR="00413E80">
        <w:rPr>
          <w:b/>
          <w:color w:val="000000"/>
        </w:rPr>
        <w:t>156950,4</w:t>
      </w:r>
      <w:r w:rsidRPr="00251D9A">
        <w:rPr>
          <w:color w:val="000000"/>
        </w:rPr>
        <w:t xml:space="preserve"> тыс. руб</w:t>
      </w:r>
      <w:r w:rsidRPr="00251D9A">
        <w:rPr>
          <w:i/>
          <w:color w:val="000000"/>
        </w:rPr>
        <w:t>.</w:t>
      </w:r>
      <w:r w:rsidR="000B3C88">
        <w:t xml:space="preserve">, </w:t>
      </w:r>
      <w:r w:rsidRPr="00792635">
        <w:rPr>
          <w:color w:val="000000"/>
        </w:rPr>
        <w:t xml:space="preserve">в том числе </w:t>
      </w:r>
      <w:r w:rsidRPr="00792635">
        <w:t xml:space="preserve">кредиты от кредитных организаций </w:t>
      </w:r>
      <w:r>
        <w:t>-</w:t>
      </w:r>
      <w:r w:rsidRPr="00792635">
        <w:t xml:space="preserve"> </w:t>
      </w:r>
      <w:r w:rsidR="00413E80">
        <w:t>113890</w:t>
      </w:r>
      <w:r>
        <w:rPr>
          <w:color w:val="000000"/>
        </w:rPr>
        <w:t xml:space="preserve"> тыс.</w:t>
      </w:r>
      <w:r w:rsidR="00413E80">
        <w:rPr>
          <w:color w:val="000000"/>
        </w:rPr>
        <w:t xml:space="preserve"> </w:t>
      </w:r>
      <w:r w:rsidRPr="00792635">
        <w:rPr>
          <w:color w:val="000000"/>
        </w:rPr>
        <w:t>руб</w:t>
      </w:r>
      <w:r>
        <w:rPr>
          <w:color w:val="000000"/>
        </w:rPr>
        <w:t>.</w:t>
      </w:r>
      <w:r w:rsidR="00413E80">
        <w:rPr>
          <w:color w:val="000000"/>
        </w:rPr>
        <w:t>,</w:t>
      </w:r>
      <w:r w:rsidRPr="00792635">
        <w:rPr>
          <w:color w:val="000000"/>
        </w:rPr>
        <w:t xml:space="preserve"> </w:t>
      </w:r>
      <w:r>
        <w:rPr>
          <w:color w:val="000000"/>
        </w:rPr>
        <w:t xml:space="preserve">бюджетный </w:t>
      </w:r>
      <w:r w:rsidRPr="00792635">
        <w:rPr>
          <w:color w:val="000000"/>
        </w:rPr>
        <w:t xml:space="preserve">кредит </w:t>
      </w:r>
      <w:r w:rsidR="000B3C88">
        <w:rPr>
          <w:color w:val="000000"/>
        </w:rPr>
        <w:t>–</w:t>
      </w:r>
      <w:r>
        <w:rPr>
          <w:color w:val="000000"/>
        </w:rPr>
        <w:t xml:space="preserve"> </w:t>
      </w:r>
      <w:r w:rsidR="00413E80">
        <w:rPr>
          <w:color w:val="000000"/>
        </w:rPr>
        <w:t>43060,4</w:t>
      </w:r>
      <w:r w:rsidRPr="00792635">
        <w:t xml:space="preserve"> тыс. руб.</w:t>
      </w:r>
    </w:p>
    <w:p w:rsidR="000B3C88" w:rsidRDefault="000B3C88" w:rsidP="00860A50">
      <w:pPr>
        <w:ind w:firstLine="709"/>
        <w:jc w:val="both"/>
        <w:outlineLvl w:val="1"/>
        <w:rPr>
          <w:i/>
        </w:rPr>
      </w:pPr>
      <w:r w:rsidRPr="000B3C88">
        <w:rPr>
          <w:b/>
          <w:i/>
        </w:rPr>
        <w:t>Расходы на о</w:t>
      </w:r>
      <w:r w:rsidRPr="000B3C88">
        <w:rPr>
          <w:b/>
          <w:i/>
          <w:color w:val="000000"/>
        </w:rPr>
        <w:t>бслуживание муниципального долга</w:t>
      </w:r>
      <w:r w:rsidRPr="00B93CFC">
        <w:rPr>
          <w:color w:val="000000"/>
        </w:rPr>
        <w:t xml:space="preserve"> за отчетный период</w:t>
      </w:r>
      <w:r w:rsidR="00860A50">
        <w:rPr>
          <w:i/>
        </w:rPr>
        <w:t xml:space="preserve"> </w:t>
      </w:r>
      <w:r w:rsidRPr="000B3C88">
        <w:t xml:space="preserve">составили в сумме </w:t>
      </w:r>
      <w:r w:rsidR="00413E80" w:rsidRPr="006622CA">
        <w:rPr>
          <w:b/>
        </w:rPr>
        <w:t>2040,8</w:t>
      </w:r>
      <w:r>
        <w:t xml:space="preserve"> тыс.</w:t>
      </w:r>
      <w:r w:rsidR="00413E80">
        <w:t xml:space="preserve"> </w:t>
      </w:r>
      <w:r>
        <w:t xml:space="preserve">руб. или </w:t>
      </w:r>
      <w:r w:rsidRPr="000B3C88">
        <w:rPr>
          <w:b/>
          <w:i/>
        </w:rPr>
        <w:t>1</w:t>
      </w:r>
      <w:r w:rsidR="00413E80">
        <w:rPr>
          <w:b/>
          <w:i/>
        </w:rPr>
        <w:t>7</w:t>
      </w:r>
      <w:r w:rsidRPr="000B3C88">
        <w:rPr>
          <w:b/>
          <w:i/>
        </w:rPr>
        <w:t>,</w:t>
      </w:r>
      <w:r w:rsidR="00413E80">
        <w:rPr>
          <w:b/>
          <w:i/>
        </w:rPr>
        <w:t>5</w:t>
      </w:r>
      <w:r w:rsidRPr="000B3C88">
        <w:rPr>
          <w:b/>
          <w:i/>
        </w:rPr>
        <w:t>%</w:t>
      </w:r>
      <w:r>
        <w:t xml:space="preserve"> от годовых плановых назначений в сумме </w:t>
      </w:r>
      <w:r w:rsidR="00413E80">
        <w:t>11643</w:t>
      </w:r>
      <w:r>
        <w:t xml:space="preserve"> тыс.</w:t>
      </w:r>
      <w:r w:rsidR="00413E80">
        <w:t xml:space="preserve"> </w:t>
      </w:r>
      <w:r>
        <w:t>руб.</w:t>
      </w:r>
    </w:p>
    <w:p w:rsidR="00A5239F" w:rsidRDefault="00A5239F" w:rsidP="00860A50">
      <w:pPr>
        <w:ind w:firstLine="709"/>
        <w:jc w:val="both"/>
        <w:outlineLvl w:val="1"/>
        <w:rPr>
          <w:i/>
        </w:rPr>
      </w:pPr>
    </w:p>
    <w:p w:rsidR="006A5A4A" w:rsidRDefault="006A5A4A" w:rsidP="006A5A4A">
      <w:pPr>
        <w:rPr>
          <w:b/>
        </w:rPr>
      </w:pPr>
      <w:r w:rsidRPr="00D929B7">
        <w:rPr>
          <w:b/>
        </w:rPr>
        <w:t>Выводы:</w:t>
      </w:r>
    </w:p>
    <w:p w:rsidR="00413E80" w:rsidRDefault="00413E80" w:rsidP="006A5A4A">
      <w:pPr>
        <w:rPr>
          <w:b/>
        </w:rPr>
      </w:pPr>
    </w:p>
    <w:p w:rsidR="008776ED" w:rsidRPr="00E3311D" w:rsidRDefault="00674A1D" w:rsidP="00B77495">
      <w:pPr>
        <w:ind w:firstLine="567"/>
        <w:jc w:val="both"/>
        <w:rPr>
          <w:color w:val="000000"/>
        </w:rPr>
      </w:pPr>
      <w:r w:rsidRPr="00674A1D">
        <w:rPr>
          <w:color w:val="000000"/>
        </w:rPr>
        <w:t xml:space="preserve">1. </w:t>
      </w:r>
      <w:r w:rsidR="008776ED" w:rsidRPr="00E3311D">
        <w:rPr>
          <w:color w:val="000000"/>
        </w:rPr>
        <w:t xml:space="preserve">Отчет об исполнении бюджета Лесозаводского городского округа за </w:t>
      </w:r>
      <w:r w:rsidR="008776ED">
        <w:rPr>
          <w:color w:val="000000"/>
        </w:rPr>
        <w:t>1 квартал 20</w:t>
      </w:r>
      <w:r w:rsidR="00B634F1">
        <w:rPr>
          <w:color w:val="000000"/>
        </w:rPr>
        <w:t>20</w:t>
      </w:r>
      <w:r w:rsidR="008776ED" w:rsidRPr="00E3311D">
        <w:rPr>
          <w:color w:val="000000"/>
        </w:rPr>
        <w:t xml:space="preserve"> года предоставлен в Контрольно-счетную палату Лесозаводского городского округа в сроки</w:t>
      </w:r>
      <w:r w:rsidR="00B77495">
        <w:rPr>
          <w:color w:val="000000"/>
        </w:rPr>
        <w:t xml:space="preserve">, установленные </w:t>
      </w:r>
      <w:r w:rsidR="008776ED" w:rsidRPr="00E3311D">
        <w:rPr>
          <w:color w:val="000000"/>
        </w:rPr>
        <w:t>п</w:t>
      </w:r>
      <w:r w:rsidR="00B77495">
        <w:rPr>
          <w:color w:val="000000"/>
        </w:rPr>
        <w:t>.</w:t>
      </w:r>
      <w:r w:rsidR="008776ED" w:rsidRPr="00E3311D">
        <w:rPr>
          <w:color w:val="000000"/>
        </w:rPr>
        <w:t xml:space="preserve"> 3 ст. 3</w:t>
      </w:r>
      <w:r w:rsidR="00B77495">
        <w:rPr>
          <w:color w:val="000000"/>
        </w:rPr>
        <w:t>3</w:t>
      </w:r>
      <w:r w:rsidR="008776ED" w:rsidRPr="00E3311D">
        <w:rPr>
          <w:color w:val="000000"/>
        </w:rPr>
        <w:t xml:space="preserve"> Положения «О бюджетном устройстве и бюджетном процессе в Лесозаводском городском округе», утвержденного решением Думы Лесозаводского городского округа от </w:t>
      </w:r>
      <w:r w:rsidR="008776ED" w:rsidRPr="00E3311D">
        <w:rPr>
          <w:color w:val="333333"/>
        </w:rPr>
        <w:t>2</w:t>
      </w:r>
      <w:r w:rsidR="00B77495">
        <w:rPr>
          <w:color w:val="333333"/>
        </w:rPr>
        <w:t>5</w:t>
      </w:r>
      <w:r w:rsidR="008776ED" w:rsidRPr="00E3311D">
        <w:rPr>
          <w:color w:val="333333"/>
        </w:rPr>
        <w:t>.0</w:t>
      </w:r>
      <w:r w:rsidR="00B77495">
        <w:rPr>
          <w:color w:val="333333"/>
        </w:rPr>
        <w:t>7</w:t>
      </w:r>
      <w:r w:rsidR="008776ED" w:rsidRPr="00E3311D">
        <w:rPr>
          <w:color w:val="333333"/>
        </w:rPr>
        <w:t>.201</w:t>
      </w:r>
      <w:r w:rsidR="00B77495">
        <w:rPr>
          <w:color w:val="333333"/>
        </w:rPr>
        <w:t>9</w:t>
      </w:r>
      <w:r w:rsidR="008776ED" w:rsidRPr="00E3311D">
        <w:rPr>
          <w:color w:val="333333"/>
        </w:rPr>
        <w:t xml:space="preserve"> </w:t>
      </w:r>
      <w:r w:rsidR="008776ED" w:rsidRPr="00E3311D">
        <w:rPr>
          <w:color w:val="000000"/>
        </w:rPr>
        <w:t>№ 1</w:t>
      </w:r>
      <w:r w:rsidR="00B77495">
        <w:rPr>
          <w:color w:val="000000"/>
        </w:rPr>
        <w:t>07</w:t>
      </w:r>
      <w:r w:rsidR="008776ED" w:rsidRPr="00E3311D">
        <w:rPr>
          <w:color w:val="000000"/>
        </w:rPr>
        <w:t>-НПА.</w:t>
      </w:r>
    </w:p>
    <w:p w:rsidR="00A63AF2" w:rsidRPr="00A63AF2" w:rsidRDefault="00674A1D" w:rsidP="00A63AF2">
      <w:pPr>
        <w:ind w:firstLine="567"/>
        <w:jc w:val="both"/>
        <w:rPr>
          <w:color w:val="000000"/>
        </w:rPr>
      </w:pPr>
      <w:r w:rsidRPr="00674A1D">
        <w:rPr>
          <w:color w:val="000000"/>
        </w:rPr>
        <w:t xml:space="preserve">2. </w:t>
      </w:r>
      <w:r w:rsidR="00A63AF2" w:rsidRPr="00A63AF2">
        <w:rPr>
          <w:color w:val="000000"/>
        </w:rPr>
        <w:t>Бюджет Лесозаводского городского округа за январь – март 2020 года исполнен:</w:t>
      </w:r>
    </w:p>
    <w:p w:rsidR="00A63AF2" w:rsidRP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по доходам - в сумме 262903,4 </w:t>
      </w:r>
      <w:proofErr w:type="spellStart"/>
      <w:r w:rsidRPr="00A63AF2">
        <w:rPr>
          <w:color w:val="000000"/>
        </w:rPr>
        <w:t>тыс</w:t>
      </w:r>
      <w:proofErr w:type="gramStart"/>
      <w:r w:rsidRPr="00A63AF2">
        <w:rPr>
          <w:color w:val="000000"/>
        </w:rPr>
        <w:t>.р</w:t>
      </w:r>
      <w:proofErr w:type="gramEnd"/>
      <w:r w:rsidRPr="00A63AF2">
        <w:rPr>
          <w:color w:val="000000"/>
        </w:rPr>
        <w:t>уб</w:t>
      </w:r>
      <w:proofErr w:type="spellEnd"/>
      <w:r w:rsidRPr="00A63AF2">
        <w:rPr>
          <w:color w:val="000000"/>
        </w:rPr>
        <w:t>. или 21,9% от утвержденных назначений (1202070,09 тыс. руб.);</w:t>
      </w:r>
    </w:p>
    <w:p w:rsidR="00A63AF2" w:rsidRP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по расходам – в сумме 271005,5 </w:t>
      </w:r>
      <w:proofErr w:type="spellStart"/>
      <w:r w:rsidRPr="00A63AF2">
        <w:rPr>
          <w:color w:val="000000"/>
        </w:rPr>
        <w:t>тыс</w:t>
      </w:r>
      <w:proofErr w:type="gramStart"/>
      <w:r w:rsidRPr="00A63AF2">
        <w:rPr>
          <w:color w:val="000000"/>
        </w:rPr>
        <w:t>.р</w:t>
      </w:r>
      <w:proofErr w:type="gramEnd"/>
      <w:r w:rsidRPr="00A63AF2">
        <w:rPr>
          <w:color w:val="000000"/>
        </w:rPr>
        <w:t>уб</w:t>
      </w:r>
      <w:proofErr w:type="spellEnd"/>
      <w:r w:rsidRPr="00A63AF2">
        <w:rPr>
          <w:color w:val="000000"/>
        </w:rPr>
        <w:t xml:space="preserve">. или 21,7% от уточненных бюджетных назначений (1246603,97 </w:t>
      </w:r>
      <w:proofErr w:type="spellStart"/>
      <w:r w:rsidRPr="00A63AF2">
        <w:rPr>
          <w:color w:val="000000"/>
        </w:rPr>
        <w:t>тыс.руб</w:t>
      </w:r>
      <w:proofErr w:type="spellEnd"/>
      <w:r w:rsidRPr="00A63AF2">
        <w:rPr>
          <w:color w:val="000000"/>
        </w:rPr>
        <w:t xml:space="preserve">.); </w:t>
      </w:r>
    </w:p>
    <w:p w:rsid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>- дефицит бюджета составил 8102,1 тыс. руб. или 48,8% от утвержденного дефицита бюджета (16600 тыс. руб.).</w:t>
      </w:r>
    </w:p>
    <w:p w:rsidR="00A97ABF" w:rsidRDefault="00A63AF2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="00A97ABF" w:rsidRPr="00A97ABF">
        <w:rPr>
          <w:color w:val="000000"/>
        </w:rPr>
        <w:t>Объем налоговых и неналоговых доходов за 1 квартал 2020 года составил 123673 тыс. руб. или 22,7% от уточненного плана (545591 тыс. руб.)</w:t>
      </w:r>
      <w:r w:rsidR="008F4C54">
        <w:rPr>
          <w:color w:val="000000"/>
        </w:rPr>
        <w:t>, в том числе</w:t>
      </w:r>
      <w:r w:rsidR="008F4C54" w:rsidRPr="008F4C54">
        <w:rPr>
          <w:color w:val="000000"/>
        </w:rPr>
        <w:t>:</w:t>
      </w:r>
      <w:r w:rsidR="00A97ABF" w:rsidRPr="00A97ABF">
        <w:rPr>
          <w:color w:val="000000"/>
        </w:rPr>
        <w:t xml:space="preserve"> </w:t>
      </w:r>
    </w:p>
    <w:p w:rsidR="00A97ABF" w:rsidRDefault="008F4C54" w:rsidP="00A97ABF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A97ABF" w:rsidRPr="00A97ABF">
        <w:rPr>
          <w:color w:val="000000"/>
        </w:rPr>
        <w:t xml:space="preserve"> по налоговым доходам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исполнен</w:t>
      </w:r>
      <w:proofErr w:type="gramEnd"/>
      <w:r>
        <w:rPr>
          <w:color w:val="000000"/>
        </w:rPr>
        <w:t xml:space="preserve"> в </w:t>
      </w:r>
      <w:r w:rsidR="00A97ABF" w:rsidRPr="00A97ABF">
        <w:rPr>
          <w:color w:val="000000"/>
        </w:rPr>
        <w:t xml:space="preserve">сумме 511904 тыс. руб., </w:t>
      </w:r>
      <w:r w:rsidR="00A97ABF">
        <w:rPr>
          <w:color w:val="000000"/>
        </w:rPr>
        <w:t>или на 22,1%</w:t>
      </w:r>
      <w:r>
        <w:rPr>
          <w:color w:val="000000"/>
        </w:rPr>
        <w:t>,</w:t>
      </w:r>
    </w:p>
    <w:p w:rsidR="00A97ABF" w:rsidRDefault="008F4C54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A97ABF" w:rsidRPr="00A97ABF">
        <w:rPr>
          <w:color w:val="000000"/>
        </w:rPr>
        <w:t>по неналоговым доходам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исполнен</w:t>
      </w:r>
      <w:proofErr w:type="gramEnd"/>
      <w:r>
        <w:rPr>
          <w:color w:val="000000"/>
        </w:rPr>
        <w:t xml:space="preserve"> в сумме </w:t>
      </w:r>
      <w:r w:rsidR="00FA398A">
        <w:rPr>
          <w:color w:val="000000"/>
        </w:rPr>
        <w:t>10751 тыс. руб. или на 31,9%.</w:t>
      </w:r>
    </w:p>
    <w:p w:rsidR="00FA398A" w:rsidRDefault="00FA398A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Отмечается </w:t>
      </w:r>
      <w:r w:rsidR="00404444">
        <w:rPr>
          <w:color w:val="000000"/>
        </w:rPr>
        <w:t xml:space="preserve">поступление неналоговых доходов сверх </w:t>
      </w:r>
      <w:r>
        <w:rPr>
          <w:color w:val="000000"/>
        </w:rPr>
        <w:t>утвержденного годового плана</w:t>
      </w:r>
      <w:r w:rsidRPr="00FA398A">
        <w:rPr>
          <w:color w:val="000000"/>
        </w:rPr>
        <w:t xml:space="preserve">: </w:t>
      </w:r>
      <w:r>
        <w:rPr>
          <w:color w:val="000000"/>
        </w:rPr>
        <w:t>от продажи земельных участков – в 2 раза, по штрафам – 108%.</w:t>
      </w:r>
    </w:p>
    <w:p w:rsidR="00FA398A" w:rsidRPr="00E26C13" w:rsidRDefault="003A0C06" w:rsidP="00A97ABF">
      <w:pPr>
        <w:ind w:firstLine="567"/>
        <w:jc w:val="both"/>
        <w:rPr>
          <w:color w:val="000000"/>
        </w:rPr>
      </w:pPr>
      <w:r>
        <w:rPr>
          <w:color w:val="000000"/>
        </w:rPr>
        <w:t>В</w:t>
      </w:r>
      <w:r w:rsidRPr="003A0C06">
        <w:rPr>
          <w:color w:val="000000"/>
        </w:rPr>
        <w:t xml:space="preserve"> 1 квартале 2020 года </w:t>
      </w:r>
      <w:r>
        <w:rPr>
          <w:color w:val="000000"/>
        </w:rPr>
        <w:t>н</w:t>
      </w:r>
      <w:r w:rsidR="00E26C13">
        <w:rPr>
          <w:color w:val="000000"/>
        </w:rPr>
        <w:t>е поступали доходы</w:t>
      </w:r>
      <w:r>
        <w:rPr>
          <w:color w:val="000000"/>
        </w:rPr>
        <w:t xml:space="preserve"> от </w:t>
      </w:r>
      <w:r w:rsidR="00E26C13">
        <w:rPr>
          <w:color w:val="000000"/>
        </w:rPr>
        <w:t>перечислени</w:t>
      </w:r>
      <w:r>
        <w:rPr>
          <w:color w:val="000000"/>
        </w:rPr>
        <w:t>я</w:t>
      </w:r>
      <w:r w:rsidR="00E26C13">
        <w:rPr>
          <w:color w:val="000000"/>
        </w:rPr>
        <w:t xml:space="preserve"> части прибыли муниципальных унитарных предприятий</w:t>
      </w:r>
      <w:r w:rsidR="004E5085">
        <w:rPr>
          <w:color w:val="000000"/>
        </w:rPr>
        <w:t xml:space="preserve"> и о</w:t>
      </w:r>
      <w:r w:rsidR="00E26C13">
        <w:rPr>
          <w:color w:val="000000"/>
        </w:rPr>
        <w:t>т реализации муниципального имущества.</w:t>
      </w:r>
    </w:p>
    <w:p w:rsidR="00A63AF2" w:rsidRDefault="00A97ABF" w:rsidP="00A97ABF">
      <w:pPr>
        <w:ind w:firstLine="567"/>
        <w:jc w:val="both"/>
        <w:rPr>
          <w:color w:val="000000"/>
        </w:rPr>
      </w:pPr>
      <w:r w:rsidRPr="00A97ABF">
        <w:rPr>
          <w:color w:val="000000"/>
        </w:rPr>
        <w:t>При плане 656479,09 тыс. руб. безвозмездных поступлений получено в сумме 139230 тыс. руб. или 21,2%.</w:t>
      </w:r>
    </w:p>
    <w:p w:rsidR="00A63AF2" w:rsidRP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>К уровню прошлого года доходов поступило больше на 49896 тыс. руб. или на 23,4%, в том числе:</w:t>
      </w:r>
    </w:p>
    <w:p w:rsidR="00A97ABF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налоговые и неналоговые доходы </w:t>
      </w:r>
      <w:r w:rsidR="00A97ABF">
        <w:rPr>
          <w:color w:val="000000"/>
        </w:rPr>
        <w:t>увеличились</w:t>
      </w:r>
      <w:r w:rsidRPr="00A63AF2">
        <w:rPr>
          <w:color w:val="000000"/>
        </w:rPr>
        <w:t xml:space="preserve"> на 5505 тыс. руб., или на 4,7%, из них</w:t>
      </w:r>
      <w:r w:rsidR="00A97ABF" w:rsidRPr="00A97ABF">
        <w:rPr>
          <w:color w:val="000000"/>
        </w:rPr>
        <w:t>:</w:t>
      </w:r>
    </w:p>
    <w:p w:rsidR="00A97ABF" w:rsidRDefault="00A97ABF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    -</w:t>
      </w:r>
      <w:r w:rsidR="00A63AF2" w:rsidRPr="00A63AF2">
        <w:rPr>
          <w:color w:val="000000"/>
        </w:rPr>
        <w:t xml:space="preserve">налоговые доходы – </w:t>
      </w:r>
      <w:r w:rsidR="008F4C54">
        <w:rPr>
          <w:color w:val="000000"/>
        </w:rPr>
        <w:t xml:space="preserve">рост </w:t>
      </w:r>
      <w:r w:rsidR="00692C31">
        <w:rPr>
          <w:color w:val="000000"/>
        </w:rPr>
        <w:t xml:space="preserve">составил </w:t>
      </w:r>
      <w:r w:rsidR="00A63AF2" w:rsidRPr="00A63AF2">
        <w:rPr>
          <w:color w:val="000000"/>
        </w:rPr>
        <w:t>12667 тыс. руб. или на 12,6%</w:t>
      </w:r>
      <w:r>
        <w:rPr>
          <w:color w:val="000000"/>
        </w:rPr>
        <w:t xml:space="preserve"> (</w:t>
      </w:r>
      <w:r w:rsidR="008F4C54">
        <w:rPr>
          <w:color w:val="000000"/>
        </w:rPr>
        <w:t xml:space="preserve">за счет </w:t>
      </w:r>
      <w:r>
        <w:rPr>
          <w:color w:val="000000"/>
        </w:rPr>
        <w:t>увеличени</w:t>
      </w:r>
      <w:r w:rsidR="008F4C54">
        <w:rPr>
          <w:color w:val="000000"/>
        </w:rPr>
        <w:t>я</w:t>
      </w:r>
      <w:r>
        <w:rPr>
          <w:color w:val="000000"/>
        </w:rPr>
        <w:t xml:space="preserve"> НДФЛ, ЕНВД, налог</w:t>
      </w:r>
      <w:r w:rsidR="008F4C54">
        <w:rPr>
          <w:color w:val="000000"/>
        </w:rPr>
        <w:t>а</w:t>
      </w:r>
      <w:r>
        <w:rPr>
          <w:color w:val="000000"/>
        </w:rPr>
        <w:t>, взимаемо</w:t>
      </w:r>
      <w:r w:rsidR="008F4C54">
        <w:rPr>
          <w:color w:val="000000"/>
        </w:rPr>
        <w:t>го</w:t>
      </w:r>
      <w:r>
        <w:rPr>
          <w:color w:val="000000"/>
        </w:rPr>
        <w:t xml:space="preserve"> в связи с применением патента)</w:t>
      </w:r>
      <w:r w:rsidR="00A63AF2" w:rsidRPr="00A63AF2">
        <w:rPr>
          <w:color w:val="000000"/>
        </w:rPr>
        <w:t>,</w:t>
      </w:r>
      <w:r>
        <w:rPr>
          <w:color w:val="000000"/>
        </w:rPr>
        <w:t xml:space="preserve"> </w:t>
      </w:r>
    </w:p>
    <w:p w:rsidR="00A63AF2" w:rsidRPr="00A63AF2" w:rsidRDefault="00A97ABF" w:rsidP="00A97ABF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      -</w:t>
      </w:r>
      <w:r w:rsidR="00A63AF2" w:rsidRPr="00A63AF2">
        <w:rPr>
          <w:color w:val="000000"/>
        </w:rPr>
        <w:t xml:space="preserve">неналоговые доходы – </w:t>
      </w:r>
      <w:r w:rsidR="008F4C54">
        <w:rPr>
          <w:color w:val="000000"/>
        </w:rPr>
        <w:t xml:space="preserve">снизились </w:t>
      </w:r>
      <w:r w:rsidR="00A63AF2" w:rsidRPr="00A63AF2">
        <w:rPr>
          <w:color w:val="000000"/>
        </w:rPr>
        <w:t xml:space="preserve">на 7162 тыс. руб., </w:t>
      </w:r>
      <w:r w:rsidR="008F4C54">
        <w:rPr>
          <w:color w:val="000000"/>
        </w:rPr>
        <w:t xml:space="preserve">или </w:t>
      </w:r>
      <w:r w:rsidR="00A63AF2" w:rsidRPr="00A63AF2">
        <w:rPr>
          <w:color w:val="000000"/>
        </w:rPr>
        <w:t>на 40%</w:t>
      </w:r>
      <w:r w:rsidR="008F4C54">
        <w:rPr>
          <w:color w:val="000000"/>
        </w:rPr>
        <w:t xml:space="preserve"> (за счет уменьшения аренды земельных участков на 9075 тыс. руб., доходов от продажи имущества на 310 тыс. руб.)</w:t>
      </w:r>
      <w:r w:rsidR="00A63AF2" w:rsidRPr="00A63AF2">
        <w:rPr>
          <w:color w:val="000000"/>
        </w:rPr>
        <w:t>,</w:t>
      </w:r>
    </w:p>
    <w:p w:rsidR="006A3DBA" w:rsidRDefault="00A63AF2" w:rsidP="00B77495">
      <w:pPr>
        <w:ind w:firstLine="567"/>
        <w:jc w:val="both"/>
      </w:pPr>
      <w:r w:rsidRPr="00A63AF2">
        <w:rPr>
          <w:color w:val="000000"/>
        </w:rPr>
        <w:t xml:space="preserve">- безвозмездные поступления – </w:t>
      </w:r>
      <w:r w:rsidR="008F4C54">
        <w:rPr>
          <w:color w:val="000000"/>
        </w:rPr>
        <w:t xml:space="preserve">увеличились </w:t>
      </w:r>
      <w:r w:rsidRPr="00A63AF2">
        <w:rPr>
          <w:color w:val="000000"/>
        </w:rPr>
        <w:t>на 44391</w:t>
      </w:r>
      <w:r w:rsidR="00A97ABF">
        <w:rPr>
          <w:color w:val="000000"/>
        </w:rPr>
        <w:t xml:space="preserve"> тыс. руб. или на 46,8%.</w:t>
      </w:r>
      <w:r w:rsidRPr="00A63AF2">
        <w:rPr>
          <w:color w:val="000000"/>
        </w:rPr>
        <w:tab/>
      </w:r>
      <w:r w:rsidRPr="00A63AF2">
        <w:rPr>
          <w:color w:val="000000"/>
        </w:rPr>
        <w:tab/>
      </w:r>
      <w:r w:rsidR="00692C31">
        <w:rPr>
          <w:color w:val="000000"/>
        </w:rPr>
        <w:t xml:space="preserve">4. За </w:t>
      </w:r>
      <w:r w:rsidR="006A3DBA">
        <w:t>отчетн</w:t>
      </w:r>
      <w:r w:rsidR="00692C31">
        <w:t>ый</w:t>
      </w:r>
      <w:r w:rsidR="006A3DBA">
        <w:t xml:space="preserve"> период увеличилась </w:t>
      </w:r>
      <w:r w:rsidR="006A3DBA" w:rsidRPr="001A03EA">
        <w:t xml:space="preserve">недоимка </w:t>
      </w:r>
      <w:r w:rsidR="00C05D2A">
        <w:t xml:space="preserve">в бюджет </w:t>
      </w:r>
      <w:r w:rsidR="006A3DBA">
        <w:t>по платежам</w:t>
      </w:r>
      <w:r w:rsidR="00C05D2A">
        <w:t>,</w:t>
      </w:r>
      <w:r w:rsidR="006A3DBA">
        <w:t xml:space="preserve"> </w:t>
      </w:r>
      <w:r w:rsidR="00C05D2A">
        <w:t>администрируемым Управлением имущественных отношений на 3533,7 тыс. руб. (</w:t>
      </w:r>
      <w:r w:rsidR="00C05D2A">
        <w:rPr>
          <w:iCs/>
          <w:lang w:bidi="en-US"/>
        </w:rPr>
        <w:t xml:space="preserve">аренда земельных участков – на 2820,9 тыс. руб., </w:t>
      </w:r>
      <w:r w:rsidR="006A3DBA">
        <w:t>аренд</w:t>
      </w:r>
      <w:r w:rsidR="00C05D2A">
        <w:t>а</w:t>
      </w:r>
      <w:r w:rsidR="006A3DBA">
        <w:t xml:space="preserve"> муниципального</w:t>
      </w:r>
      <w:r w:rsidR="006A3DBA" w:rsidRPr="001A03EA">
        <w:rPr>
          <w:iCs/>
          <w:lang w:bidi="en-US"/>
        </w:rPr>
        <w:t xml:space="preserve"> имуществ</w:t>
      </w:r>
      <w:r w:rsidR="006A3DBA">
        <w:rPr>
          <w:iCs/>
          <w:lang w:bidi="en-US"/>
        </w:rPr>
        <w:t xml:space="preserve">а </w:t>
      </w:r>
      <w:r w:rsidR="00C05D2A">
        <w:rPr>
          <w:iCs/>
          <w:lang w:bidi="en-US"/>
        </w:rPr>
        <w:t>– на 362,3 тыс. руб., плата по договорам на установку рекламных конструкций – на 320,5</w:t>
      </w:r>
      <w:r w:rsidR="006A3DBA" w:rsidRPr="006A3DBA">
        <w:t xml:space="preserve"> </w:t>
      </w:r>
      <w:proofErr w:type="spellStart"/>
      <w:r w:rsidR="006A3DBA" w:rsidRPr="006A3DBA">
        <w:t>тыс</w:t>
      </w:r>
      <w:proofErr w:type="gramStart"/>
      <w:r w:rsidR="006A3DBA" w:rsidRPr="006A3DBA">
        <w:t>.р</w:t>
      </w:r>
      <w:proofErr w:type="gramEnd"/>
      <w:r w:rsidR="006A3DBA" w:rsidRPr="006A3DBA">
        <w:t>уб</w:t>
      </w:r>
      <w:proofErr w:type="spellEnd"/>
      <w:r w:rsidR="006A3DBA" w:rsidRPr="006A3DBA">
        <w:t>.</w:t>
      </w:r>
      <w:r w:rsidR="00C05D2A">
        <w:t>)</w:t>
      </w:r>
    </w:p>
    <w:p w:rsidR="00895439" w:rsidRDefault="00C05D2A" w:rsidP="00C05D2A">
      <w:pPr>
        <w:ind w:firstLine="567"/>
        <w:jc w:val="both"/>
      </w:pPr>
      <w:r>
        <w:t>5.</w:t>
      </w:r>
      <w:r w:rsidR="00895439">
        <w:t xml:space="preserve"> </w:t>
      </w:r>
      <w:r>
        <w:t xml:space="preserve">Расходы бюджета в отчетном периоде исполнены в сумме </w:t>
      </w:r>
      <w:r w:rsidR="00895439">
        <w:t>271005,5</w:t>
      </w:r>
      <w:r>
        <w:t xml:space="preserve"> тыс. руб., что составило 2</w:t>
      </w:r>
      <w:r w:rsidR="00895439">
        <w:t>1,7</w:t>
      </w:r>
      <w:r>
        <w:t xml:space="preserve">% от годовых назначений.    </w:t>
      </w:r>
    </w:p>
    <w:p w:rsidR="00895439" w:rsidRDefault="0033068C" w:rsidP="00C05D2A">
      <w:pPr>
        <w:ind w:firstLine="567"/>
        <w:jc w:val="both"/>
      </w:pPr>
      <w:r w:rsidRPr="0033068C">
        <w:t>В сравнение с 1 кварталом 2019 года расходы за отчетный период возросли на 50260,5 тыс. руб. или на 22,8%.</w:t>
      </w:r>
    </w:p>
    <w:p w:rsidR="0033068C" w:rsidRDefault="0033068C" w:rsidP="00C05D2A">
      <w:pPr>
        <w:ind w:firstLine="567"/>
        <w:jc w:val="both"/>
      </w:pPr>
      <w:r w:rsidRPr="0033068C">
        <w:t>На финансирование социально-культурной сферы за отчетный период использовано бюджетных сре</w:t>
      </w:r>
      <w:proofErr w:type="gramStart"/>
      <w:r w:rsidRPr="0033068C">
        <w:t>дств в с</w:t>
      </w:r>
      <w:proofErr w:type="gramEnd"/>
      <w:r w:rsidRPr="0033068C">
        <w:t>умме 230880,7 тыс. руб. или 85,2%, с увеличением по сравнению с аналогичным периодом 2019 года на 40754,8 тыс. руб.</w:t>
      </w:r>
    </w:p>
    <w:p w:rsidR="00895439" w:rsidRDefault="0033068C" w:rsidP="00C05D2A">
      <w:pPr>
        <w:ind w:firstLine="567"/>
        <w:jc w:val="both"/>
      </w:pPr>
      <w:r>
        <w:t>Из анализа расходов следует, что основная доля расходов приходится на образование, в разрезе видов расходов – на предоставление субсидии бюджетным учреждениям.</w:t>
      </w:r>
    </w:p>
    <w:p w:rsidR="0033068C" w:rsidRDefault="0033068C" w:rsidP="00C05D2A">
      <w:pPr>
        <w:ind w:firstLine="567"/>
        <w:jc w:val="both"/>
      </w:pPr>
      <w:r>
        <w:t>Расходы исполнены за счет собственных сре</w:t>
      </w:r>
      <w:proofErr w:type="gramStart"/>
      <w:r>
        <w:t>дств в с</w:t>
      </w:r>
      <w:proofErr w:type="gramEnd"/>
      <w:r>
        <w:t>умме 159473,4 тыс. руб. или 58,8% от всех расходов, за счет целевых средств других бюджетов – 111532,1 тыс. руб. или 41,2%.</w:t>
      </w:r>
    </w:p>
    <w:p w:rsidR="00E55D7A" w:rsidRDefault="00E55D7A" w:rsidP="00440ABF">
      <w:pPr>
        <w:ind w:firstLine="567"/>
        <w:jc w:val="both"/>
        <w:rPr>
          <w:rFonts w:eastAsia="Calibri"/>
          <w:lang w:eastAsia="en-US"/>
        </w:rPr>
      </w:pPr>
      <w:r w:rsidRPr="007C781D">
        <w:rPr>
          <w:rFonts w:eastAsia="Calibri"/>
          <w:lang w:eastAsia="en-US"/>
        </w:rPr>
        <w:t>На реализацию мероприятий муниципальны</w:t>
      </w:r>
      <w:r>
        <w:rPr>
          <w:rFonts w:eastAsia="Calibri"/>
          <w:lang w:eastAsia="en-US"/>
        </w:rPr>
        <w:t>х</w:t>
      </w:r>
      <w:r w:rsidRPr="007C781D">
        <w:rPr>
          <w:rFonts w:eastAsia="Calibri"/>
          <w:lang w:eastAsia="en-US"/>
        </w:rPr>
        <w:t xml:space="preserve"> программ </w:t>
      </w:r>
      <w:r>
        <w:rPr>
          <w:rFonts w:eastAsia="Calibri"/>
          <w:lang w:eastAsia="en-US"/>
        </w:rPr>
        <w:t>за 1 квартал</w:t>
      </w:r>
      <w:r w:rsidRPr="007C781D">
        <w:rPr>
          <w:rFonts w:eastAsia="Calibri"/>
          <w:lang w:eastAsia="en-US"/>
        </w:rPr>
        <w:t xml:space="preserve"> 2020 год</w:t>
      </w:r>
      <w:r>
        <w:rPr>
          <w:rFonts w:eastAsia="Calibri"/>
          <w:lang w:eastAsia="en-US"/>
        </w:rPr>
        <w:t>а</w:t>
      </w:r>
      <w:r w:rsidRPr="007C781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</w:t>
      </w:r>
      <w:r w:rsidRPr="007C781D">
        <w:rPr>
          <w:rFonts w:eastAsia="Calibri"/>
          <w:lang w:eastAsia="en-US"/>
        </w:rPr>
        <w:t>асходы исполнены в сумме 224281,9тыс. руб. или на 21,8%.</w:t>
      </w:r>
      <w:r>
        <w:rPr>
          <w:rFonts w:eastAsia="Calibri"/>
          <w:lang w:eastAsia="en-US"/>
        </w:rPr>
        <w:t xml:space="preserve"> </w:t>
      </w:r>
      <w:r w:rsidRPr="0066160C">
        <w:rPr>
          <w:rFonts w:eastAsia="Calibri"/>
          <w:lang w:eastAsia="en-US"/>
        </w:rPr>
        <w:t>Непрограмм</w:t>
      </w:r>
      <w:r>
        <w:rPr>
          <w:rFonts w:eastAsia="Calibri"/>
          <w:lang w:eastAsia="en-US"/>
        </w:rPr>
        <w:t>ные расходы исполнены в сумме 46723,6</w:t>
      </w:r>
      <w:r w:rsidRPr="0066160C">
        <w:rPr>
          <w:rFonts w:eastAsia="Calibri"/>
          <w:lang w:eastAsia="en-US"/>
        </w:rPr>
        <w:t xml:space="preserve"> тыс. руб. или 2</w:t>
      </w:r>
      <w:r>
        <w:rPr>
          <w:rFonts w:eastAsia="Calibri"/>
          <w:lang w:eastAsia="en-US"/>
        </w:rPr>
        <w:t>1</w:t>
      </w:r>
      <w:r w:rsidRPr="0066160C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>4</w:t>
      </w:r>
      <w:r w:rsidRPr="0066160C">
        <w:rPr>
          <w:rFonts w:eastAsia="Calibri"/>
          <w:lang w:eastAsia="en-US"/>
        </w:rPr>
        <w:t>% от уточненного плана.</w:t>
      </w:r>
    </w:p>
    <w:p w:rsidR="00E55D7A" w:rsidRDefault="00E55D7A" w:rsidP="00440ABF">
      <w:pPr>
        <w:ind w:firstLine="567"/>
        <w:jc w:val="both"/>
        <w:rPr>
          <w:rFonts w:eastAsia="Calibri"/>
          <w:lang w:eastAsia="en-US"/>
        </w:rPr>
      </w:pPr>
      <w:r w:rsidRPr="0066160C">
        <w:rPr>
          <w:rFonts w:eastAsia="Calibri"/>
          <w:lang w:eastAsia="en-US"/>
        </w:rPr>
        <w:t>Удельный вес исполнения программных расходов составил 82,8%, доля непро</w:t>
      </w:r>
      <w:r>
        <w:rPr>
          <w:rFonts w:eastAsia="Calibri"/>
          <w:lang w:eastAsia="en-US"/>
        </w:rPr>
        <w:t>граммных расходов – 17,2%.</w:t>
      </w:r>
    </w:p>
    <w:p w:rsidR="00C05D2A" w:rsidRDefault="00E55D7A" w:rsidP="00E55D7A">
      <w:pPr>
        <w:ind w:firstLine="567"/>
        <w:jc w:val="both"/>
      </w:pPr>
      <w:r>
        <w:t>Расходы на реализацию муниципальных программ в целом по отношению к аналогичному периоду 2019 года увеличились на 34209,3 тыс. руб. или на 18%, по непрограммным направлениям увеличились на 16051,2 тыс. руб. или на 52,3%.</w:t>
      </w:r>
    </w:p>
    <w:p w:rsidR="00890F83" w:rsidRDefault="00E55D7A" w:rsidP="00E52556">
      <w:pPr>
        <w:ind w:firstLine="567"/>
        <w:jc w:val="both"/>
      </w:pPr>
      <w:r w:rsidRPr="00E55D7A">
        <w:t xml:space="preserve">Исполнение выше среднего уровня </w:t>
      </w:r>
      <w:r>
        <w:t xml:space="preserve">(21,7%) </w:t>
      </w:r>
      <w:r w:rsidRPr="00E55D7A">
        <w:t>за отчетный период сложилось по 6-ти муниципальным программам</w:t>
      </w:r>
      <w:r>
        <w:t>. Ниже среднего уровня сложилось исполнение по 8-ми программам, из них расходы не о</w:t>
      </w:r>
      <w:r w:rsidR="00890F83">
        <w:t>существлялись по 3-м программам</w:t>
      </w:r>
      <w:r w:rsidR="00890F83" w:rsidRPr="00890F83">
        <w:t>:</w:t>
      </w:r>
      <w:r w:rsidR="00E52556">
        <w:t xml:space="preserve"> «Обращение с твердыми бытовыми отходами в ЛГО» (план 500 тыс. руб.), «Формирование современной городской среды на территории ЛГО» (план 42802,2 тыс. руб.),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ЛГО» (план 400 тыс. руб.).</w:t>
      </w:r>
    </w:p>
    <w:p w:rsidR="00E52556" w:rsidRDefault="00E52556" w:rsidP="00E52556">
      <w:pPr>
        <w:ind w:firstLine="567"/>
        <w:jc w:val="both"/>
      </w:pPr>
      <w:r>
        <w:t>6. При установленном плане в сумме 10500 тыс. руб. в</w:t>
      </w:r>
      <w:r w:rsidRPr="00E52556">
        <w:t xml:space="preserve"> 1 квартале 2020 года кассовые расходы на выполнение наказов избирателей не осуществлялись.</w:t>
      </w:r>
    </w:p>
    <w:p w:rsidR="001E4F24" w:rsidRDefault="00E52556" w:rsidP="001E4F24">
      <w:pPr>
        <w:ind w:firstLine="567"/>
        <w:jc w:val="both"/>
        <w:rPr>
          <w:rFonts w:eastAsia="Calibri"/>
          <w:lang w:eastAsia="en-US"/>
        </w:rPr>
      </w:pPr>
      <w:r>
        <w:t>7</w:t>
      </w:r>
      <w:r w:rsidR="001E4F24">
        <w:t>. Н</w:t>
      </w:r>
      <w:r w:rsidR="001E4F24" w:rsidRPr="0076101F">
        <w:t>а 01.04.20</w:t>
      </w:r>
      <w:r w:rsidR="001E4F24">
        <w:t>20</w:t>
      </w:r>
      <w:r w:rsidR="001E4F24" w:rsidRPr="0076101F">
        <w:t xml:space="preserve"> поступ</w:t>
      </w:r>
      <w:r w:rsidR="001E4F24">
        <w:t>ления</w:t>
      </w:r>
      <w:r w:rsidR="001E4F24" w:rsidRPr="0076101F">
        <w:t xml:space="preserve"> дорожного фонда составил</w:t>
      </w:r>
      <w:r w:rsidR="001E4F24">
        <w:t>и</w:t>
      </w:r>
      <w:r w:rsidR="001E4F24" w:rsidRPr="0076101F">
        <w:t xml:space="preserve"> в сумме  </w:t>
      </w:r>
      <w:r w:rsidR="001E4F24">
        <w:t>5381,8</w:t>
      </w:r>
      <w:r w:rsidR="001E4F24" w:rsidRPr="0076101F">
        <w:t xml:space="preserve"> тыс.</w:t>
      </w:r>
      <w:r w:rsidR="001E4F24">
        <w:t xml:space="preserve"> </w:t>
      </w:r>
      <w:r w:rsidR="001E4F24" w:rsidRPr="0076101F">
        <w:t>руб.</w:t>
      </w:r>
      <w:r w:rsidR="001E4F24">
        <w:t>, к</w:t>
      </w:r>
      <w:r w:rsidR="001E4F24" w:rsidRPr="0076101F">
        <w:t xml:space="preserve">ассовое исполнение  средств дорожного фонда составило  в сумме  </w:t>
      </w:r>
      <w:r w:rsidR="001E4F24">
        <w:t>3617,3</w:t>
      </w:r>
      <w:r w:rsidR="001E4F24" w:rsidRPr="0076101F">
        <w:t xml:space="preserve"> тыс. руб.</w:t>
      </w:r>
      <w:r w:rsidR="001E4F24" w:rsidRPr="0076101F">
        <w:rPr>
          <w:i/>
        </w:rPr>
        <w:t xml:space="preserve"> </w:t>
      </w:r>
      <w:r w:rsidR="001E4F24" w:rsidRPr="0076101F">
        <w:t xml:space="preserve">или </w:t>
      </w:r>
      <w:r w:rsidR="001E4F24">
        <w:t>11,4</w:t>
      </w:r>
      <w:r w:rsidR="001E4F24" w:rsidRPr="0076101F">
        <w:t>% к утвержденному годовому плану.</w:t>
      </w:r>
    </w:p>
    <w:p w:rsidR="001E4F24" w:rsidRPr="00952C22" w:rsidRDefault="001E4F24" w:rsidP="001E4F24">
      <w:pPr>
        <w:ind w:firstLine="567"/>
        <w:jc w:val="both"/>
      </w:pPr>
      <w:r>
        <w:rPr>
          <w:rFonts w:eastAsia="Calibri"/>
          <w:lang w:eastAsia="en-US"/>
        </w:rPr>
        <w:t>Остаток б</w:t>
      </w:r>
      <w:r w:rsidRPr="006B14AF">
        <w:rPr>
          <w:rFonts w:eastAsia="Calibri"/>
          <w:lang w:eastAsia="en-US"/>
        </w:rPr>
        <w:t>юджетны</w:t>
      </w:r>
      <w:r>
        <w:rPr>
          <w:rFonts w:eastAsia="Calibri"/>
          <w:lang w:eastAsia="en-US"/>
        </w:rPr>
        <w:t>х</w:t>
      </w:r>
      <w:r w:rsidRPr="006B14AF">
        <w:rPr>
          <w:rFonts w:eastAsia="Calibri"/>
          <w:lang w:eastAsia="en-US"/>
        </w:rPr>
        <w:t xml:space="preserve"> ассигновани</w:t>
      </w:r>
      <w:r>
        <w:rPr>
          <w:rFonts w:eastAsia="Calibri"/>
          <w:lang w:eastAsia="en-US"/>
        </w:rPr>
        <w:t>й</w:t>
      </w:r>
      <w:r w:rsidRPr="006B14AF">
        <w:rPr>
          <w:rFonts w:eastAsia="Calibri"/>
          <w:lang w:eastAsia="en-US"/>
        </w:rPr>
        <w:t xml:space="preserve"> дорожного фонда</w:t>
      </w:r>
      <w:r w:rsidRPr="00BC19CB">
        <w:rPr>
          <w:bCs/>
          <w:color w:val="000000"/>
        </w:rPr>
        <w:t xml:space="preserve"> </w:t>
      </w:r>
      <w:r w:rsidRPr="0008044B">
        <w:rPr>
          <w:bCs/>
          <w:color w:val="000000"/>
        </w:rPr>
        <w:t>Лесозаводского городского округа</w:t>
      </w:r>
      <w:r>
        <w:rPr>
          <w:bCs/>
          <w:color w:val="000000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0F0CC4">
        <w:t>на 01.04.20</w:t>
      </w:r>
      <w:r>
        <w:t>20 составил 4676,5</w:t>
      </w:r>
      <w:r w:rsidRPr="00952C22">
        <w:rPr>
          <w:b/>
        </w:rPr>
        <w:t xml:space="preserve"> </w:t>
      </w:r>
      <w:r w:rsidRPr="00952C22">
        <w:t>тыс. руб.</w:t>
      </w:r>
    </w:p>
    <w:p w:rsidR="00E55D7A" w:rsidRDefault="00E52556" w:rsidP="00C05D2A">
      <w:pPr>
        <w:ind w:firstLine="567"/>
        <w:jc w:val="both"/>
      </w:pPr>
      <w:r>
        <w:t>8</w:t>
      </w:r>
      <w:r w:rsidR="001E4F24">
        <w:t xml:space="preserve">. </w:t>
      </w:r>
      <w:r w:rsidR="001E4F24" w:rsidRPr="001E4F24">
        <w:t>Согласно Отчету о расходовании средств резервного фонда за 1 квартал 2020 года средства резервного фонда исполнены в сумме 241,1 тыс. руб. или на 48,2%</w:t>
      </w:r>
      <w:r w:rsidR="001E4F24">
        <w:t>.</w:t>
      </w:r>
    </w:p>
    <w:p w:rsidR="001E4F24" w:rsidRDefault="00A765F1" w:rsidP="00C05D2A">
      <w:pPr>
        <w:ind w:firstLine="567"/>
        <w:jc w:val="both"/>
      </w:pPr>
      <w:r>
        <w:t>С</w:t>
      </w:r>
      <w:r w:rsidR="006B24BF">
        <w:t xml:space="preserve">редства, направленные </w:t>
      </w:r>
      <w:r>
        <w:t xml:space="preserve">из резервного фонда </w:t>
      </w:r>
      <w:r w:rsidR="006B24BF">
        <w:t xml:space="preserve">для оказания материальной помощи гражданам, пострадавшим в связи с сильными ливневыми дождями в сумме 2 тыс. руб. </w:t>
      </w:r>
      <w:r>
        <w:t xml:space="preserve">в отчете о расходовании средств резервного фонда не отражены. Данная выплата </w:t>
      </w:r>
      <w:r w:rsidR="006B24BF">
        <w:t>включен</w:t>
      </w:r>
      <w:r>
        <w:t>а</w:t>
      </w:r>
      <w:r w:rsidR="006B24BF">
        <w:t xml:space="preserve"> в сумму выплат материальной помощи</w:t>
      </w:r>
      <w:r w:rsidR="000D04E4">
        <w:t xml:space="preserve"> пострадавшим в результате пожара</w:t>
      </w:r>
      <w:r>
        <w:t xml:space="preserve"> </w:t>
      </w:r>
      <w:r>
        <w:t>(47 тыс. руб.)</w:t>
      </w:r>
      <w:r w:rsidR="000D04E4">
        <w:t>.</w:t>
      </w:r>
    </w:p>
    <w:p w:rsidR="00D05CEF" w:rsidRPr="00D05CEF" w:rsidRDefault="00E52556" w:rsidP="001E4F24">
      <w:pPr>
        <w:ind w:firstLine="567"/>
        <w:jc w:val="both"/>
      </w:pPr>
      <w:r>
        <w:t>9</w:t>
      </w:r>
      <w:r w:rsidR="001E4F24">
        <w:t xml:space="preserve">. </w:t>
      </w:r>
      <w:r w:rsidR="00D05CEF">
        <w:t>Бюджет за 1 квартал 20</w:t>
      </w:r>
      <w:r w:rsidR="001E4F24">
        <w:t>20</w:t>
      </w:r>
      <w:r w:rsidR="00D05CEF">
        <w:t xml:space="preserve"> года исполнен с </w:t>
      </w:r>
      <w:r w:rsidR="00D05CEF" w:rsidRPr="001E4F24">
        <w:t xml:space="preserve">дефицитом в сумме </w:t>
      </w:r>
      <w:r w:rsidR="001E4F24" w:rsidRPr="001E4F24">
        <w:t>8102,1</w:t>
      </w:r>
      <w:r w:rsidR="00D05CEF" w:rsidRPr="001E4F24">
        <w:rPr>
          <w:rFonts w:eastAsia="Arial Unicode MS"/>
        </w:rPr>
        <w:t xml:space="preserve"> </w:t>
      </w:r>
      <w:r w:rsidR="00D05CEF" w:rsidRPr="001E4F24">
        <w:t xml:space="preserve">тыс. руб. </w:t>
      </w:r>
      <w:r w:rsidR="001E4F24" w:rsidRPr="001E4F24">
        <w:t xml:space="preserve">за счет </w:t>
      </w:r>
      <w:r w:rsidR="001E4F24">
        <w:t>изменения</w:t>
      </w:r>
      <w:r w:rsidR="001E4F24" w:rsidRPr="001E4F24">
        <w:t xml:space="preserve"> остатков средств на счетах по учету средств бюджета</w:t>
      </w:r>
      <w:r w:rsidR="001E4F24" w:rsidRPr="008F3B4B">
        <w:t xml:space="preserve"> городского округа</w:t>
      </w:r>
      <w:r w:rsidR="001E4F24">
        <w:t xml:space="preserve">. </w:t>
      </w:r>
    </w:p>
    <w:p w:rsidR="00E56CC0" w:rsidRDefault="00D05CEF" w:rsidP="001E4F24">
      <w:pPr>
        <w:ind w:left="360"/>
        <w:jc w:val="both"/>
      </w:pPr>
      <w:r>
        <w:t>К</w:t>
      </w:r>
      <w:r w:rsidRPr="00D05CEF">
        <w:t xml:space="preserve">редитные средства </w:t>
      </w:r>
      <w:r>
        <w:t xml:space="preserve">в отчетном периоде </w:t>
      </w:r>
      <w:r w:rsidRPr="00D05CEF">
        <w:t>не привлекались и не погашались.</w:t>
      </w:r>
      <w:r>
        <w:t xml:space="preserve"> Муниципальный долг не изменился и на 01.04.20</w:t>
      </w:r>
      <w:r w:rsidR="006B24BF">
        <w:t>20</w:t>
      </w:r>
      <w:r>
        <w:t xml:space="preserve"> составил в сумме </w:t>
      </w:r>
      <w:r w:rsidR="006B24BF">
        <w:t>156950,4</w:t>
      </w:r>
      <w:r w:rsidR="007B769C">
        <w:t xml:space="preserve"> </w:t>
      </w:r>
      <w:r>
        <w:t>тыс.</w:t>
      </w:r>
      <w:r w:rsidR="006B24BF">
        <w:t xml:space="preserve"> </w:t>
      </w:r>
      <w:r>
        <w:t>руб.</w:t>
      </w:r>
      <w:r w:rsidR="00E56CC0" w:rsidRPr="00E56CC0">
        <w:t xml:space="preserve"> </w:t>
      </w:r>
    </w:p>
    <w:p w:rsidR="00674A1D" w:rsidRDefault="00674A1D" w:rsidP="006A5A4A">
      <w:pPr>
        <w:rPr>
          <w:b/>
        </w:rPr>
      </w:pPr>
    </w:p>
    <w:p w:rsidR="00A765F1" w:rsidRDefault="00A765F1" w:rsidP="006A5A4A">
      <w:pPr>
        <w:tabs>
          <w:tab w:val="num" w:pos="0"/>
        </w:tabs>
        <w:ind w:firstLine="709"/>
        <w:jc w:val="both"/>
        <w:rPr>
          <w:b/>
        </w:rPr>
      </w:pPr>
    </w:p>
    <w:p w:rsidR="00E52556" w:rsidRPr="00E52556" w:rsidRDefault="00E52556" w:rsidP="006A5A4A">
      <w:pPr>
        <w:tabs>
          <w:tab w:val="num" w:pos="0"/>
        </w:tabs>
        <w:ind w:firstLine="709"/>
        <w:jc w:val="both"/>
        <w:rPr>
          <w:b/>
        </w:rPr>
      </w:pPr>
      <w:bookmarkStart w:id="0" w:name="_GoBack"/>
      <w:bookmarkEnd w:id="0"/>
      <w:r w:rsidRPr="00E52556">
        <w:rPr>
          <w:b/>
        </w:rPr>
        <w:lastRenderedPageBreak/>
        <w:t>Предложения</w:t>
      </w:r>
      <w:r w:rsidRPr="00440ABF">
        <w:rPr>
          <w:b/>
        </w:rPr>
        <w:t>:</w:t>
      </w:r>
    </w:p>
    <w:p w:rsidR="00E52556" w:rsidRPr="00E52556" w:rsidRDefault="00E52556" w:rsidP="006A5A4A">
      <w:pPr>
        <w:tabs>
          <w:tab w:val="num" w:pos="0"/>
        </w:tabs>
        <w:ind w:firstLine="709"/>
        <w:jc w:val="both"/>
      </w:pPr>
    </w:p>
    <w:p w:rsidR="00A8171A" w:rsidRPr="006A5A4A" w:rsidRDefault="00A8171A" w:rsidP="00A8171A">
      <w:pPr>
        <w:tabs>
          <w:tab w:val="num" w:pos="0"/>
        </w:tabs>
        <w:ind w:firstLine="709"/>
        <w:jc w:val="both"/>
        <w:rPr>
          <w:b/>
          <w:i/>
        </w:rPr>
      </w:pPr>
      <w:r w:rsidRPr="00E56CC0">
        <w:t>Думе Лесозаводского городского округа:</w:t>
      </w:r>
    </w:p>
    <w:p w:rsidR="00A8171A" w:rsidRDefault="00A8171A" w:rsidP="00A8171A">
      <w:pPr>
        <w:contextualSpacing/>
        <w:jc w:val="both"/>
      </w:pPr>
      <w:r>
        <w:t xml:space="preserve">            </w:t>
      </w:r>
      <w:r w:rsidR="00440ABF">
        <w:t>-п</w:t>
      </w:r>
      <w:r>
        <w:t>ринять к сведению О</w:t>
      </w:r>
      <w:r w:rsidRPr="006A5A4A">
        <w:t>тчет об исполнении бюджета Лесозаводского городского округа за 1 квартал 20</w:t>
      </w:r>
      <w:r>
        <w:t>20</w:t>
      </w:r>
      <w:r w:rsidRPr="006A5A4A">
        <w:t xml:space="preserve"> года. </w:t>
      </w:r>
    </w:p>
    <w:p w:rsidR="00A8171A" w:rsidRDefault="00A8171A" w:rsidP="006A5A4A">
      <w:pPr>
        <w:tabs>
          <w:tab w:val="num" w:pos="0"/>
        </w:tabs>
        <w:ind w:firstLine="709"/>
        <w:jc w:val="both"/>
      </w:pPr>
    </w:p>
    <w:p w:rsidR="00A8171A" w:rsidRDefault="00A8171A" w:rsidP="006A5A4A">
      <w:pPr>
        <w:tabs>
          <w:tab w:val="num" w:pos="0"/>
        </w:tabs>
        <w:ind w:firstLine="709"/>
        <w:jc w:val="both"/>
      </w:pPr>
      <w:r>
        <w:t>Администрации Лесозаводского городского округа</w:t>
      </w:r>
      <w:r w:rsidRPr="00A8171A">
        <w:t>:</w:t>
      </w:r>
    </w:p>
    <w:p w:rsidR="005D5DA6" w:rsidRDefault="00A8171A" w:rsidP="00E02E28">
      <w:pPr>
        <w:jc w:val="both"/>
      </w:pPr>
      <w:r>
        <w:tab/>
      </w:r>
      <w:r w:rsidR="00E02E28">
        <w:t>-</w:t>
      </w:r>
      <w:r w:rsidR="006C3AAE">
        <w:t xml:space="preserve"> р</w:t>
      </w:r>
      <w:r w:rsidR="00E02E28">
        <w:t>ассмотреть вопрос об увеличении плана поступлений по доходам от продажи земельных участков и штрафам.</w:t>
      </w:r>
    </w:p>
    <w:p w:rsidR="00E02E28" w:rsidRDefault="00E02E28" w:rsidP="006C3AAE">
      <w:pPr>
        <w:jc w:val="both"/>
      </w:pPr>
      <w:r>
        <w:tab/>
        <w:t xml:space="preserve">- </w:t>
      </w:r>
      <w:r w:rsidR="00440ABF">
        <w:t xml:space="preserve">продолжить работу </w:t>
      </w:r>
      <w:r w:rsidRPr="00E02E28">
        <w:t>по сокращению дебиторской задолженности по арендным платежам</w:t>
      </w:r>
      <w:r w:rsidR="00605C80">
        <w:t xml:space="preserve"> и принять действенные меры по недопущению роста задолженности</w:t>
      </w:r>
      <w:r w:rsidR="006C3AAE">
        <w:t>.</w:t>
      </w:r>
    </w:p>
    <w:p w:rsidR="006C3AAE" w:rsidRDefault="006C3AAE" w:rsidP="006C3AAE">
      <w:pPr>
        <w:jc w:val="both"/>
      </w:pPr>
      <w:r>
        <w:tab/>
        <w:t xml:space="preserve">- в виду неисполнения и низкого исполнения отдельных муниципальных программ обеспечить контроль </w:t>
      </w:r>
      <w:r w:rsidR="00306C24">
        <w:t xml:space="preserve">по </w:t>
      </w:r>
      <w:r w:rsidR="004E2E04">
        <w:t xml:space="preserve">своевременному </w:t>
      </w:r>
      <w:r w:rsidR="00306C24">
        <w:t xml:space="preserve">освоению бюджетных средств и </w:t>
      </w:r>
      <w:r w:rsidR="005038DD">
        <w:t>повышению уровня исполнения программных расходов.</w:t>
      </w:r>
    </w:p>
    <w:p w:rsidR="001A680B" w:rsidRDefault="006C3AAE" w:rsidP="006C3AAE">
      <w:pPr>
        <w:jc w:val="both"/>
      </w:pPr>
      <w:r>
        <w:tab/>
        <w:t>- отчет о</w:t>
      </w:r>
      <w:r w:rsidR="00AF7DC4">
        <w:t xml:space="preserve"> расходовании</w:t>
      </w:r>
      <w:r>
        <w:t xml:space="preserve"> резервного фонда формировать в соответствии с </w:t>
      </w:r>
      <w:r w:rsidR="001A680B">
        <w:t>распределением бюджетных средств.</w:t>
      </w:r>
    </w:p>
    <w:p w:rsidR="00E02E28" w:rsidRDefault="00E02E28" w:rsidP="006C3AAE">
      <w:pPr>
        <w:jc w:val="both"/>
      </w:pPr>
    </w:p>
    <w:p w:rsidR="00B77495" w:rsidRDefault="00B77495" w:rsidP="006A5A4A"/>
    <w:p w:rsidR="00112665" w:rsidRDefault="00112665" w:rsidP="006A5A4A"/>
    <w:p w:rsidR="00AF7DC4" w:rsidRDefault="00AF7DC4" w:rsidP="006A5A4A"/>
    <w:p w:rsidR="005038DD" w:rsidRDefault="005038DD" w:rsidP="006A5A4A"/>
    <w:p w:rsidR="006A5A4A" w:rsidRPr="006A5A4A" w:rsidRDefault="00B77495" w:rsidP="006A5A4A">
      <w:proofErr w:type="spellStart"/>
      <w:r>
        <w:t>И.о</w:t>
      </w:r>
      <w:proofErr w:type="gramStart"/>
      <w:r>
        <w:t>.п</w:t>
      </w:r>
      <w:proofErr w:type="gramEnd"/>
      <w:r w:rsidR="006A5A4A" w:rsidRPr="006A5A4A">
        <w:t>редседател</w:t>
      </w:r>
      <w:r>
        <w:t>я</w:t>
      </w:r>
      <w:proofErr w:type="spellEnd"/>
      <w:r w:rsidR="006A5A4A" w:rsidRPr="006A5A4A">
        <w:t xml:space="preserve"> Контрольно-счетной палаты</w:t>
      </w:r>
    </w:p>
    <w:p w:rsidR="006A5A4A" w:rsidRDefault="006A5A4A" w:rsidP="006A5A4A">
      <w:r w:rsidRPr="006A5A4A">
        <w:rPr>
          <w:color w:val="000000"/>
        </w:rPr>
        <w:t>Л</w:t>
      </w:r>
      <w:r w:rsidR="00B77495">
        <w:rPr>
          <w:color w:val="000000"/>
        </w:rPr>
        <w:t>есозаводского городского округа</w:t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proofErr w:type="spellStart"/>
      <w:r w:rsidR="00B77495">
        <w:t>О.А.Журкова</w:t>
      </w:r>
      <w:proofErr w:type="spellEnd"/>
    </w:p>
    <w:p w:rsidR="00A07BF4" w:rsidRDefault="00A07BF4" w:rsidP="006A5A4A"/>
    <w:sectPr w:rsidR="00A07BF4" w:rsidSect="00B77495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DD" w:rsidRDefault="005038DD" w:rsidP="006971E5">
      <w:r>
        <w:separator/>
      </w:r>
    </w:p>
  </w:endnote>
  <w:endnote w:type="continuationSeparator" w:id="0">
    <w:p w:rsidR="005038DD" w:rsidRDefault="005038DD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DD" w:rsidRDefault="005038DD" w:rsidP="006971E5">
      <w:r>
        <w:separator/>
      </w:r>
    </w:p>
  </w:footnote>
  <w:footnote w:type="continuationSeparator" w:id="0">
    <w:p w:rsidR="005038DD" w:rsidRDefault="005038DD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758831"/>
      <w:docPartObj>
        <w:docPartGallery w:val="Page Numbers (Top of Page)"/>
        <w:docPartUnique/>
      </w:docPartObj>
    </w:sdtPr>
    <w:sdtContent>
      <w:p w:rsidR="005038DD" w:rsidRDefault="005038DD" w:rsidP="007A471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36F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3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8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21"/>
  </w:num>
  <w:num w:numId="3">
    <w:abstractNumId w:val="17"/>
  </w:num>
  <w:num w:numId="4">
    <w:abstractNumId w:val="14"/>
  </w:num>
  <w:num w:numId="5">
    <w:abstractNumId w:val="12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6"/>
  </w:num>
  <w:num w:numId="10">
    <w:abstractNumId w:val="6"/>
  </w:num>
  <w:num w:numId="11">
    <w:abstractNumId w:val="2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0"/>
  </w:num>
  <w:num w:numId="16">
    <w:abstractNumId w:val="2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5"/>
  </w:num>
  <w:num w:numId="18">
    <w:abstractNumId w:val="28"/>
  </w:num>
  <w:num w:numId="19">
    <w:abstractNumId w:val="18"/>
  </w:num>
  <w:num w:numId="20">
    <w:abstractNumId w:val="25"/>
  </w:num>
  <w:num w:numId="21">
    <w:abstractNumId w:val="30"/>
  </w:num>
  <w:num w:numId="22">
    <w:abstractNumId w:val="9"/>
  </w:num>
  <w:num w:numId="23">
    <w:abstractNumId w:val="2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0"/>
  </w:num>
  <w:num w:numId="30">
    <w:abstractNumId w:val="11"/>
  </w:num>
  <w:num w:numId="31">
    <w:abstractNumId w:val="1"/>
  </w:num>
  <w:num w:numId="32">
    <w:abstractNumId w:val="1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233D"/>
    <w:rsid w:val="00002FA1"/>
    <w:rsid w:val="00004AB3"/>
    <w:rsid w:val="00004E96"/>
    <w:rsid w:val="00006EFB"/>
    <w:rsid w:val="00011A0D"/>
    <w:rsid w:val="00012314"/>
    <w:rsid w:val="00012727"/>
    <w:rsid w:val="000131AF"/>
    <w:rsid w:val="00016410"/>
    <w:rsid w:val="000170E1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441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4C9C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13CA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3A6B"/>
    <w:rsid w:val="0007452B"/>
    <w:rsid w:val="0007457F"/>
    <w:rsid w:val="000747FA"/>
    <w:rsid w:val="00077081"/>
    <w:rsid w:val="00080245"/>
    <w:rsid w:val="0008044B"/>
    <w:rsid w:val="00080E28"/>
    <w:rsid w:val="0008175A"/>
    <w:rsid w:val="0008197B"/>
    <w:rsid w:val="00081FDD"/>
    <w:rsid w:val="0008376F"/>
    <w:rsid w:val="00084D17"/>
    <w:rsid w:val="0008508B"/>
    <w:rsid w:val="00085C25"/>
    <w:rsid w:val="000867D1"/>
    <w:rsid w:val="00086951"/>
    <w:rsid w:val="00086F31"/>
    <w:rsid w:val="00086F3F"/>
    <w:rsid w:val="00087E66"/>
    <w:rsid w:val="00091048"/>
    <w:rsid w:val="00092C14"/>
    <w:rsid w:val="00094054"/>
    <w:rsid w:val="00094A12"/>
    <w:rsid w:val="00094B8F"/>
    <w:rsid w:val="00094D55"/>
    <w:rsid w:val="000956DC"/>
    <w:rsid w:val="00095F98"/>
    <w:rsid w:val="000A0374"/>
    <w:rsid w:val="000A0D15"/>
    <w:rsid w:val="000A1088"/>
    <w:rsid w:val="000A47FA"/>
    <w:rsid w:val="000A5B53"/>
    <w:rsid w:val="000A6320"/>
    <w:rsid w:val="000B0960"/>
    <w:rsid w:val="000B12FF"/>
    <w:rsid w:val="000B32E9"/>
    <w:rsid w:val="000B3C88"/>
    <w:rsid w:val="000B49A4"/>
    <w:rsid w:val="000B619E"/>
    <w:rsid w:val="000B628B"/>
    <w:rsid w:val="000B795E"/>
    <w:rsid w:val="000B7FEA"/>
    <w:rsid w:val="000C063D"/>
    <w:rsid w:val="000C135D"/>
    <w:rsid w:val="000C21C2"/>
    <w:rsid w:val="000C21DF"/>
    <w:rsid w:val="000C27AA"/>
    <w:rsid w:val="000C3548"/>
    <w:rsid w:val="000C60A8"/>
    <w:rsid w:val="000C7A97"/>
    <w:rsid w:val="000D00E2"/>
    <w:rsid w:val="000D01B0"/>
    <w:rsid w:val="000D04E4"/>
    <w:rsid w:val="000D323D"/>
    <w:rsid w:val="000D3D0E"/>
    <w:rsid w:val="000D3E89"/>
    <w:rsid w:val="000D4124"/>
    <w:rsid w:val="000D5C03"/>
    <w:rsid w:val="000D6E62"/>
    <w:rsid w:val="000D7026"/>
    <w:rsid w:val="000D779A"/>
    <w:rsid w:val="000D7E29"/>
    <w:rsid w:val="000E00A3"/>
    <w:rsid w:val="000E0175"/>
    <w:rsid w:val="000E04EF"/>
    <w:rsid w:val="000E063D"/>
    <w:rsid w:val="000E0CEE"/>
    <w:rsid w:val="000E2D9A"/>
    <w:rsid w:val="000E3FA4"/>
    <w:rsid w:val="000E4119"/>
    <w:rsid w:val="000E688C"/>
    <w:rsid w:val="000F0CC4"/>
    <w:rsid w:val="000F221F"/>
    <w:rsid w:val="000F415A"/>
    <w:rsid w:val="000F47FD"/>
    <w:rsid w:val="000F5029"/>
    <w:rsid w:val="00100428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6D6F"/>
    <w:rsid w:val="0012713B"/>
    <w:rsid w:val="00130D6F"/>
    <w:rsid w:val="001313F5"/>
    <w:rsid w:val="00132575"/>
    <w:rsid w:val="00133912"/>
    <w:rsid w:val="00134BA9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51CAF"/>
    <w:rsid w:val="001525B5"/>
    <w:rsid w:val="001527E2"/>
    <w:rsid w:val="001535C5"/>
    <w:rsid w:val="00154282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BFD"/>
    <w:rsid w:val="00197902"/>
    <w:rsid w:val="00197ADB"/>
    <w:rsid w:val="001A03EA"/>
    <w:rsid w:val="001A1287"/>
    <w:rsid w:val="001A18A1"/>
    <w:rsid w:val="001A4370"/>
    <w:rsid w:val="001A5383"/>
    <w:rsid w:val="001A6726"/>
    <w:rsid w:val="001A680B"/>
    <w:rsid w:val="001A68B9"/>
    <w:rsid w:val="001A68CE"/>
    <w:rsid w:val="001A7A46"/>
    <w:rsid w:val="001A7AEC"/>
    <w:rsid w:val="001B387C"/>
    <w:rsid w:val="001B4B57"/>
    <w:rsid w:val="001B670C"/>
    <w:rsid w:val="001B6A7B"/>
    <w:rsid w:val="001C02C8"/>
    <w:rsid w:val="001C1351"/>
    <w:rsid w:val="001C3135"/>
    <w:rsid w:val="001C4440"/>
    <w:rsid w:val="001C6184"/>
    <w:rsid w:val="001C65F0"/>
    <w:rsid w:val="001C774F"/>
    <w:rsid w:val="001D0F26"/>
    <w:rsid w:val="001D3C75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368A"/>
    <w:rsid w:val="001F461D"/>
    <w:rsid w:val="001F4946"/>
    <w:rsid w:val="001F68A5"/>
    <w:rsid w:val="00200383"/>
    <w:rsid w:val="00200F50"/>
    <w:rsid w:val="00201D5F"/>
    <w:rsid w:val="00202F85"/>
    <w:rsid w:val="00203FA8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3197"/>
    <w:rsid w:val="00213864"/>
    <w:rsid w:val="00216123"/>
    <w:rsid w:val="00216EA4"/>
    <w:rsid w:val="00217BD0"/>
    <w:rsid w:val="002200E9"/>
    <w:rsid w:val="002225FD"/>
    <w:rsid w:val="002229C4"/>
    <w:rsid w:val="00222FE3"/>
    <w:rsid w:val="002235E4"/>
    <w:rsid w:val="0022489F"/>
    <w:rsid w:val="00224EA9"/>
    <w:rsid w:val="002251B2"/>
    <w:rsid w:val="0022547F"/>
    <w:rsid w:val="00227E0A"/>
    <w:rsid w:val="00227F1F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300E"/>
    <w:rsid w:val="00246DD1"/>
    <w:rsid w:val="00246EDB"/>
    <w:rsid w:val="00247124"/>
    <w:rsid w:val="002502C7"/>
    <w:rsid w:val="00251D89"/>
    <w:rsid w:val="00251D9A"/>
    <w:rsid w:val="0025240F"/>
    <w:rsid w:val="00254626"/>
    <w:rsid w:val="002551AA"/>
    <w:rsid w:val="00256455"/>
    <w:rsid w:val="00256A0B"/>
    <w:rsid w:val="00257874"/>
    <w:rsid w:val="002628D4"/>
    <w:rsid w:val="00264AE8"/>
    <w:rsid w:val="00266BBF"/>
    <w:rsid w:val="00266C8C"/>
    <w:rsid w:val="002670F6"/>
    <w:rsid w:val="0027012B"/>
    <w:rsid w:val="00271084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322C"/>
    <w:rsid w:val="00294640"/>
    <w:rsid w:val="0029539B"/>
    <w:rsid w:val="00295A23"/>
    <w:rsid w:val="00296C52"/>
    <w:rsid w:val="002A0C5F"/>
    <w:rsid w:val="002A247E"/>
    <w:rsid w:val="002A6847"/>
    <w:rsid w:val="002A7D1B"/>
    <w:rsid w:val="002B325F"/>
    <w:rsid w:val="002B3A08"/>
    <w:rsid w:val="002B48FC"/>
    <w:rsid w:val="002B6030"/>
    <w:rsid w:val="002B631A"/>
    <w:rsid w:val="002B6F2E"/>
    <w:rsid w:val="002C4350"/>
    <w:rsid w:val="002C5C94"/>
    <w:rsid w:val="002C5CD5"/>
    <w:rsid w:val="002D0CE4"/>
    <w:rsid w:val="002D0DB0"/>
    <w:rsid w:val="002D2C24"/>
    <w:rsid w:val="002D2C31"/>
    <w:rsid w:val="002D51AA"/>
    <w:rsid w:val="002D7855"/>
    <w:rsid w:val="002D7E4E"/>
    <w:rsid w:val="002D7FE5"/>
    <w:rsid w:val="002E036D"/>
    <w:rsid w:val="002E0ABF"/>
    <w:rsid w:val="002E4318"/>
    <w:rsid w:val="002E4CAC"/>
    <w:rsid w:val="002E7747"/>
    <w:rsid w:val="002F6355"/>
    <w:rsid w:val="002F6E94"/>
    <w:rsid w:val="002F7EE4"/>
    <w:rsid w:val="003040BE"/>
    <w:rsid w:val="003044B5"/>
    <w:rsid w:val="00304802"/>
    <w:rsid w:val="00305D10"/>
    <w:rsid w:val="00306442"/>
    <w:rsid w:val="0030664B"/>
    <w:rsid w:val="00306C24"/>
    <w:rsid w:val="00310732"/>
    <w:rsid w:val="00310EAF"/>
    <w:rsid w:val="00312A4B"/>
    <w:rsid w:val="00315D2B"/>
    <w:rsid w:val="00316018"/>
    <w:rsid w:val="003176D0"/>
    <w:rsid w:val="00321F89"/>
    <w:rsid w:val="00323471"/>
    <w:rsid w:val="00324192"/>
    <w:rsid w:val="0032496D"/>
    <w:rsid w:val="00325173"/>
    <w:rsid w:val="0033068C"/>
    <w:rsid w:val="00330828"/>
    <w:rsid w:val="00331BBC"/>
    <w:rsid w:val="00332812"/>
    <w:rsid w:val="0033283E"/>
    <w:rsid w:val="00333800"/>
    <w:rsid w:val="003350EE"/>
    <w:rsid w:val="00335415"/>
    <w:rsid w:val="0033542F"/>
    <w:rsid w:val="00336009"/>
    <w:rsid w:val="003368A1"/>
    <w:rsid w:val="00337B68"/>
    <w:rsid w:val="00340FDF"/>
    <w:rsid w:val="00342EB5"/>
    <w:rsid w:val="0034390C"/>
    <w:rsid w:val="00344BCB"/>
    <w:rsid w:val="00344BE4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110F"/>
    <w:rsid w:val="0036258D"/>
    <w:rsid w:val="00362B78"/>
    <w:rsid w:val="00366618"/>
    <w:rsid w:val="00367016"/>
    <w:rsid w:val="00370AE3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3044"/>
    <w:rsid w:val="003841CC"/>
    <w:rsid w:val="003841DA"/>
    <w:rsid w:val="00384B03"/>
    <w:rsid w:val="003866E7"/>
    <w:rsid w:val="00387EF1"/>
    <w:rsid w:val="00392799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71C"/>
    <w:rsid w:val="003A3ED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67E8"/>
    <w:rsid w:val="003E7036"/>
    <w:rsid w:val="003E74BD"/>
    <w:rsid w:val="003E7F4E"/>
    <w:rsid w:val="003F0DF2"/>
    <w:rsid w:val="003F53CE"/>
    <w:rsid w:val="003F6CF2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4A7"/>
    <w:rsid w:val="00427E97"/>
    <w:rsid w:val="00430893"/>
    <w:rsid w:val="00431339"/>
    <w:rsid w:val="004338A8"/>
    <w:rsid w:val="004338C7"/>
    <w:rsid w:val="00433EF2"/>
    <w:rsid w:val="004351A9"/>
    <w:rsid w:val="00440ABF"/>
    <w:rsid w:val="00443E66"/>
    <w:rsid w:val="00444719"/>
    <w:rsid w:val="00444C4E"/>
    <w:rsid w:val="004455DA"/>
    <w:rsid w:val="00445940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1CEF"/>
    <w:rsid w:val="0046413E"/>
    <w:rsid w:val="00465982"/>
    <w:rsid w:val="004664E9"/>
    <w:rsid w:val="00467749"/>
    <w:rsid w:val="004712EC"/>
    <w:rsid w:val="004714FA"/>
    <w:rsid w:val="00472155"/>
    <w:rsid w:val="0047269F"/>
    <w:rsid w:val="00474284"/>
    <w:rsid w:val="004772EA"/>
    <w:rsid w:val="00481614"/>
    <w:rsid w:val="0048223D"/>
    <w:rsid w:val="0048364F"/>
    <w:rsid w:val="00484038"/>
    <w:rsid w:val="0048432F"/>
    <w:rsid w:val="00484D5F"/>
    <w:rsid w:val="00486832"/>
    <w:rsid w:val="00487402"/>
    <w:rsid w:val="004901E7"/>
    <w:rsid w:val="00490409"/>
    <w:rsid w:val="00491656"/>
    <w:rsid w:val="004945AF"/>
    <w:rsid w:val="00494637"/>
    <w:rsid w:val="004952AC"/>
    <w:rsid w:val="00495A8C"/>
    <w:rsid w:val="00496913"/>
    <w:rsid w:val="00496A71"/>
    <w:rsid w:val="00496ACC"/>
    <w:rsid w:val="004970C8"/>
    <w:rsid w:val="004A0C89"/>
    <w:rsid w:val="004A20D2"/>
    <w:rsid w:val="004A224C"/>
    <w:rsid w:val="004A40CE"/>
    <w:rsid w:val="004A488F"/>
    <w:rsid w:val="004A4D9D"/>
    <w:rsid w:val="004A50C5"/>
    <w:rsid w:val="004A7799"/>
    <w:rsid w:val="004A796F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2234"/>
    <w:rsid w:val="004C3C9B"/>
    <w:rsid w:val="004C4787"/>
    <w:rsid w:val="004C5CD4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15FD"/>
    <w:rsid w:val="004E21E9"/>
    <w:rsid w:val="004E2E04"/>
    <w:rsid w:val="004E5085"/>
    <w:rsid w:val="004E655C"/>
    <w:rsid w:val="004E7AFB"/>
    <w:rsid w:val="004F157D"/>
    <w:rsid w:val="004F289D"/>
    <w:rsid w:val="004F2975"/>
    <w:rsid w:val="004F6F5C"/>
    <w:rsid w:val="00500DA7"/>
    <w:rsid w:val="005013A1"/>
    <w:rsid w:val="005038DD"/>
    <w:rsid w:val="00504443"/>
    <w:rsid w:val="005067A7"/>
    <w:rsid w:val="00510722"/>
    <w:rsid w:val="00511593"/>
    <w:rsid w:val="00511DF9"/>
    <w:rsid w:val="0051280A"/>
    <w:rsid w:val="00515F78"/>
    <w:rsid w:val="005174B8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15E2"/>
    <w:rsid w:val="00531A38"/>
    <w:rsid w:val="00531C86"/>
    <w:rsid w:val="00532E58"/>
    <w:rsid w:val="00533310"/>
    <w:rsid w:val="005338DF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C2F"/>
    <w:rsid w:val="00550CBE"/>
    <w:rsid w:val="00551C06"/>
    <w:rsid w:val="00552342"/>
    <w:rsid w:val="00552A51"/>
    <w:rsid w:val="00552DFF"/>
    <w:rsid w:val="00552E39"/>
    <w:rsid w:val="005532FF"/>
    <w:rsid w:val="00554041"/>
    <w:rsid w:val="005551C8"/>
    <w:rsid w:val="005557A4"/>
    <w:rsid w:val="0055659F"/>
    <w:rsid w:val="0055686C"/>
    <w:rsid w:val="00556A11"/>
    <w:rsid w:val="00557135"/>
    <w:rsid w:val="00557B17"/>
    <w:rsid w:val="00557B9A"/>
    <w:rsid w:val="005606CE"/>
    <w:rsid w:val="00562589"/>
    <w:rsid w:val="0056364A"/>
    <w:rsid w:val="0056620E"/>
    <w:rsid w:val="0056665D"/>
    <w:rsid w:val="005700C5"/>
    <w:rsid w:val="00570247"/>
    <w:rsid w:val="00573C1A"/>
    <w:rsid w:val="00574775"/>
    <w:rsid w:val="00576397"/>
    <w:rsid w:val="00580B2A"/>
    <w:rsid w:val="00580F4E"/>
    <w:rsid w:val="00582E0F"/>
    <w:rsid w:val="005831FD"/>
    <w:rsid w:val="005836FD"/>
    <w:rsid w:val="00583798"/>
    <w:rsid w:val="00584285"/>
    <w:rsid w:val="005842BA"/>
    <w:rsid w:val="00584650"/>
    <w:rsid w:val="005860C2"/>
    <w:rsid w:val="0058628D"/>
    <w:rsid w:val="0059002B"/>
    <w:rsid w:val="00590366"/>
    <w:rsid w:val="0059170E"/>
    <w:rsid w:val="00592522"/>
    <w:rsid w:val="005958D0"/>
    <w:rsid w:val="00595FC8"/>
    <w:rsid w:val="00597E4C"/>
    <w:rsid w:val="005A3CE6"/>
    <w:rsid w:val="005A437D"/>
    <w:rsid w:val="005A518B"/>
    <w:rsid w:val="005A5D58"/>
    <w:rsid w:val="005A689B"/>
    <w:rsid w:val="005A78D3"/>
    <w:rsid w:val="005B15DF"/>
    <w:rsid w:val="005B2C54"/>
    <w:rsid w:val="005B39AB"/>
    <w:rsid w:val="005B4AB9"/>
    <w:rsid w:val="005B6209"/>
    <w:rsid w:val="005B6886"/>
    <w:rsid w:val="005B7199"/>
    <w:rsid w:val="005B7757"/>
    <w:rsid w:val="005B7FFD"/>
    <w:rsid w:val="005C1AED"/>
    <w:rsid w:val="005C2641"/>
    <w:rsid w:val="005C313C"/>
    <w:rsid w:val="005C3B07"/>
    <w:rsid w:val="005C554B"/>
    <w:rsid w:val="005C5BF6"/>
    <w:rsid w:val="005C5E1A"/>
    <w:rsid w:val="005C75A5"/>
    <w:rsid w:val="005C7C6B"/>
    <w:rsid w:val="005D05B4"/>
    <w:rsid w:val="005D1269"/>
    <w:rsid w:val="005D14FF"/>
    <w:rsid w:val="005D1B09"/>
    <w:rsid w:val="005D21B3"/>
    <w:rsid w:val="005D27E6"/>
    <w:rsid w:val="005D2AB0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1BE4"/>
    <w:rsid w:val="005F2394"/>
    <w:rsid w:val="005F3CAE"/>
    <w:rsid w:val="005F700B"/>
    <w:rsid w:val="005F7970"/>
    <w:rsid w:val="006008F5"/>
    <w:rsid w:val="00602BDC"/>
    <w:rsid w:val="00602D6A"/>
    <w:rsid w:val="00605465"/>
    <w:rsid w:val="00605B8B"/>
    <w:rsid w:val="00605C80"/>
    <w:rsid w:val="00607884"/>
    <w:rsid w:val="006108AE"/>
    <w:rsid w:val="00612C34"/>
    <w:rsid w:val="0061322F"/>
    <w:rsid w:val="006132E4"/>
    <w:rsid w:val="00613E13"/>
    <w:rsid w:val="006153A3"/>
    <w:rsid w:val="00616C64"/>
    <w:rsid w:val="00617112"/>
    <w:rsid w:val="00617149"/>
    <w:rsid w:val="006202BC"/>
    <w:rsid w:val="00620AD7"/>
    <w:rsid w:val="00621AF4"/>
    <w:rsid w:val="00622B0A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FD8"/>
    <w:rsid w:val="00634031"/>
    <w:rsid w:val="00634586"/>
    <w:rsid w:val="00634CFB"/>
    <w:rsid w:val="006371C2"/>
    <w:rsid w:val="00637B56"/>
    <w:rsid w:val="00641876"/>
    <w:rsid w:val="00641DB1"/>
    <w:rsid w:val="00646F28"/>
    <w:rsid w:val="00647BDB"/>
    <w:rsid w:val="006502C1"/>
    <w:rsid w:val="006502D3"/>
    <w:rsid w:val="006503ED"/>
    <w:rsid w:val="00651EF1"/>
    <w:rsid w:val="0065449E"/>
    <w:rsid w:val="00654D38"/>
    <w:rsid w:val="0065575E"/>
    <w:rsid w:val="006564B5"/>
    <w:rsid w:val="00657CFC"/>
    <w:rsid w:val="0066064B"/>
    <w:rsid w:val="00660827"/>
    <w:rsid w:val="0066160C"/>
    <w:rsid w:val="006622CA"/>
    <w:rsid w:val="006638A2"/>
    <w:rsid w:val="006641F2"/>
    <w:rsid w:val="00665A7B"/>
    <w:rsid w:val="00665E37"/>
    <w:rsid w:val="006662C7"/>
    <w:rsid w:val="00666862"/>
    <w:rsid w:val="00666FE3"/>
    <w:rsid w:val="00671042"/>
    <w:rsid w:val="006717B4"/>
    <w:rsid w:val="00671ACC"/>
    <w:rsid w:val="006729A9"/>
    <w:rsid w:val="00672DBD"/>
    <w:rsid w:val="0067332F"/>
    <w:rsid w:val="00674A1D"/>
    <w:rsid w:val="00674DEC"/>
    <w:rsid w:val="006753B2"/>
    <w:rsid w:val="00676672"/>
    <w:rsid w:val="00680613"/>
    <w:rsid w:val="006825B7"/>
    <w:rsid w:val="00682E40"/>
    <w:rsid w:val="0068333E"/>
    <w:rsid w:val="00683A43"/>
    <w:rsid w:val="006841B8"/>
    <w:rsid w:val="00686347"/>
    <w:rsid w:val="00686C4E"/>
    <w:rsid w:val="00691C5E"/>
    <w:rsid w:val="0069269A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4D95"/>
    <w:rsid w:val="006B64B0"/>
    <w:rsid w:val="006B6FF2"/>
    <w:rsid w:val="006C10FF"/>
    <w:rsid w:val="006C25BD"/>
    <w:rsid w:val="006C3AAE"/>
    <w:rsid w:val="006D07FC"/>
    <w:rsid w:val="006D3B20"/>
    <w:rsid w:val="006D6821"/>
    <w:rsid w:val="006D6E0B"/>
    <w:rsid w:val="006D7086"/>
    <w:rsid w:val="006D7DD6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C0D"/>
    <w:rsid w:val="006E5C07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5601"/>
    <w:rsid w:val="006F75BB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1053C"/>
    <w:rsid w:val="00712952"/>
    <w:rsid w:val="00712B95"/>
    <w:rsid w:val="00712F76"/>
    <w:rsid w:val="00715FF1"/>
    <w:rsid w:val="0071618E"/>
    <w:rsid w:val="00716EA8"/>
    <w:rsid w:val="00717A5A"/>
    <w:rsid w:val="00722185"/>
    <w:rsid w:val="00723568"/>
    <w:rsid w:val="00723AF2"/>
    <w:rsid w:val="00724A10"/>
    <w:rsid w:val="00724C08"/>
    <w:rsid w:val="00726889"/>
    <w:rsid w:val="00727436"/>
    <w:rsid w:val="00731EF0"/>
    <w:rsid w:val="0073205F"/>
    <w:rsid w:val="007322F5"/>
    <w:rsid w:val="007333E2"/>
    <w:rsid w:val="00733C3B"/>
    <w:rsid w:val="0073413D"/>
    <w:rsid w:val="0073465B"/>
    <w:rsid w:val="00735A02"/>
    <w:rsid w:val="00736D5A"/>
    <w:rsid w:val="00736E4E"/>
    <w:rsid w:val="0073723E"/>
    <w:rsid w:val="00740EDC"/>
    <w:rsid w:val="00741702"/>
    <w:rsid w:val="00741AEF"/>
    <w:rsid w:val="0074396E"/>
    <w:rsid w:val="00743D01"/>
    <w:rsid w:val="00746E37"/>
    <w:rsid w:val="00747343"/>
    <w:rsid w:val="00750253"/>
    <w:rsid w:val="00753337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EE"/>
    <w:rsid w:val="007723CD"/>
    <w:rsid w:val="00772819"/>
    <w:rsid w:val="0077316A"/>
    <w:rsid w:val="007734AA"/>
    <w:rsid w:val="007743F8"/>
    <w:rsid w:val="007746A2"/>
    <w:rsid w:val="00774D58"/>
    <w:rsid w:val="00776D87"/>
    <w:rsid w:val="00781AF0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650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65C0"/>
    <w:rsid w:val="007C781D"/>
    <w:rsid w:val="007D14AE"/>
    <w:rsid w:val="007D1E60"/>
    <w:rsid w:val="007D3BD5"/>
    <w:rsid w:val="007D4516"/>
    <w:rsid w:val="007D7FD9"/>
    <w:rsid w:val="007D7FE3"/>
    <w:rsid w:val="007E003E"/>
    <w:rsid w:val="007E1660"/>
    <w:rsid w:val="007E1ADB"/>
    <w:rsid w:val="007E3527"/>
    <w:rsid w:val="007E4C38"/>
    <w:rsid w:val="007E53C5"/>
    <w:rsid w:val="007E5979"/>
    <w:rsid w:val="007E6DB0"/>
    <w:rsid w:val="007E79E0"/>
    <w:rsid w:val="007F0C7E"/>
    <w:rsid w:val="007F2315"/>
    <w:rsid w:val="007F4C68"/>
    <w:rsid w:val="007F4D34"/>
    <w:rsid w:val="00800C87"/>
    <w:rsid w:val="00801E05"/>
    <w:rsid w:val="00802B3C"/>
    <w:rsid w:val="008032A0"/>
    <w:rsid w:val="00803932"/>
    <w:rsid w:val="00804F9C"/>
    <w:rsid w:val="00805865"/>
    <w:rsid w:val="00805EFF"/>
    <w:rsid w:val="008072FC"/>
    <w:rsid w:val="0080753C"/>
    <w:rsid w:val="00807547"/>
    <w:rsid w:val="0080799D"/>
    <w:rsid w:val="00810613"/>
    <w:rsid w:val="00810E44"/>
    <w:rsid w:val="008128A9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946"/>
    <w:rsid w:val="00823F51"/>
    <w:rsid w:val="00825139"/>
    <w:rsid w:val="00826682"/>
    <w:rsid w:val="00830B21"/>
    <w:rsid w:val="00832066"/>
    <w:rsid w:val="0083248F"/>
    <w:rsid w:val="00832797"/>
    <w:rsid w:val="00832B6B"/>
    <w:rsid w:val="008330A2"/>
    <w:rsid w:val="0083323E"/>
    <w:rsid w:val="00833EAF"/>
    <w:rsid w:val="0083460A"/>
    <w:rsid w:val="00834ECA"/>
    <w:rsid w:val="00834EE5"/>
    <w:rsid w:val="00835011"/>
    <w:rsid w:val="00835215"/>
    <w:rsid w:val="00841C3D"/>
    <w:rsid w:val="00841DC4"/>
    <w:rsid w:val="008431F5"/>
    <w:rsid w:val="008442A1"/>
    <w:rsid w:val="008448B3"/>
    <w:rsid w:val="00844F1C"/>
    <w:rsid w:val="0084536F"/>
    <w:rsid w:val="00845D74"/>
    <w:rsid w:val="00847058"/>
    <w:rsid w:val="0085034C"/>
    <w:rsid w:val="00850B12"/>
    <w:rsid w:val="008534B9"/>
    <w:rsid w:val="00855F20"/>
    <w:rsid w:val="008560B4"/>
    <w:rsid w:val="00856A4A"/>
    <w:rsid w:val="00857152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29B0"/>
    <w:rsid w:val="00884E6D"/>
    <w:rsid w:val="00885BE0"/>
    <w:rsid w:val="00886AC6"/>
    <w:rsid w:val="00886F1D"/>
    <w:rsid w:val="00887267"/>
    <w:rsid w:val="008872F7"/>
    <w:rsid w:val="00887F41"/>
    <w:rsid w:val="00890D6A"/>
    <w:rsid w:val="00890F83"/>
    <w:rsid w:val="00891C6C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2653"/>
    <w:rsid w:val="008A2785"/>
    <w:rsid w:val="008A2A50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685"/>
    <w:rsid w:val="008C2520"/>
    <w:rsid w:val="008C44B9"/>
    <w:rsid w:val="008C6D89"/>
    <w:rsid w:val="008D152B"/>
    <w:rsid w:val="008D16E8"/>
    <w:rsid w:val="008D211E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626"/>
    <w:rsid w:val="00917F13"/>
    <w:rsid w:val="0092073D"/>
    <w:rsid w:val="009217C8"/>
    <w:rsid w:val="00922148"/>
    <w:rsid w:val="00922B0E"/>
    <w:rsid w:val="00922D2D"/>
    <w:rsid w:val="00922DF7"/>
    <w:rsid w:val="00922F5E"/>
    <w:rsid w:val="00923D89"/>
    <w:rsid w:val="009259DB"/>
    <w:rsid w:val="00927938"/>
    <w:rsid w:val="009306F8"/>
    <w:rsid w:val="00931F7A"/>
    <w:rsid w:val="009320DB"/>
    <w:rsid w:val="00932A1B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59D6"/>
    <w:rsid w:val="00965E6C"/>
    <w:rsid w:val="00966C6D"/>
    <w:rsid w:val="00967D29"/>
    <w:rsid w:val="009701C7"/>
    <w:rsid w:val="0097136C"/>
    <w:rsid w:val="00972CEC"/>
    <w:rsid w:val="00974CC6"/>
    <w:rsid w:val="00975A17"/>
    <w:rsid w:val="00975A68"/>
    <w:rsid w:val="00975AF6"/>
    <w:rsid w:val="00981F4D"/>
    <w:rsid w:val="0098471C"/>
    <w:rsid w:val="00991BAD"/>
    <w:rsid w:val="009935C5"/>
    <w:rsid w:val="00994AA9"/>
    <w:rsid w:val="00994BAB"/>
    <w:rsid w:val="00995E10"/>
    <w:rsid w:val="00996A48"/>
    <w:rsid w:val="00996E47"/>
    <w:rsid w:val="009A0642"/>
    <w:rsid w:val="009A090D"/>
    <w:rsid w:val="009A15E0"/>
    <w:rsid w:val="009A1990"/>
    <w:rsid w:val="009A36D5"/>
    <w:rsid w:val="009A3B60"/>
    <w:rsid w:val="009A5C76"/>
    <w:rsid w:val="009A5E9C"/>
    <w:rsid w:val="009A6030"/>
    <w:rsid w:val="009A65AF"/>
    <w:rsid w:val="009B08FE"/>
    <w:rsid w:val="009B1122"/>
    <w:rsid w:val="009B290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444E"/>
    <w:rsid w:val="009C5D16"/>
    <w:rsid w:val="009C7131"/>
    <w:rsid w:val="009D04D6"/>
    <w:rsid w:val="009D09D5"/>
    <w:rsid w:val="009D0B93"/>
    <w:rsid w:val="009D1933"/>
    <w:rsid w:val="009D1A8D"/>
    <w:rsid w:val="009D6AF0"/>
    <w:rsid w:val="009D7215"/>
    <w:rsid w:val="009D788A"/>
    <w:rsid w:val="009E189B"/>
    <w:rsid w:val="009E196E"/>
    <w:rsid w:val="009E419D"/>
    <w:rsid w:val="009E44A9"/>
    <w:rsid w:val="009E4DBE"/>
    <w:rsid w:val="009E5486"/>
    <w:rsid w:val="009E5D13"/>
    <w:rsid w:val="009E612B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D86"/>
    <w:rsid w:val="00A02133"/>
    <w:rsid w:val="00A0342E"/>
    <w:rsid w:val="00A03B70"/>
    <w:rsid w:val="00A0489A"/>
    <w:rsid w:val="00A07BF4"/>
    <w:rsid w:val="00A1099A"/>
    <w:rsid w:val="00A130BB"/>
    <w:rsid w:val="00A138C1"/>
    <w:rsid w:val="00A158EE"/>
    <w:rsid w:val="00A15B65"/>
    <w:rsid w:val="00A15EB8"/>
    <w:rsid w:val="00A20FF7"/>
    <w:rsid w:val="00A22E56"/>
    <w:rsid w:val="00A24ABC"/>
    <w:rsid w:val="00A24EAD"/>
    <w:rsid w:val="00A25105"/>
    <w:rsid w:val="00A257B2"/>
    <w:rsid w:val="00A26714"/>
    <w:rsid w:val="00A26B6A"/>
    <w:rsid w:val="00A27456"/>
    <w:rsid w:val="00A276C1"/>
    <w:rsid w:val="00A30554"/>
    <w:rsid w:val="00A30611"/>
    <w:rsid w:val="00A309D4"/>
    <w:rsid w:val="00A30BE0"/>
    <w:rsid w:val="00A30FCC"/>
    <w:rsid w:val="00A3267F"/>
    <w:rsid w:val="00A344FF"/>
    <w:rsid w:val="00A3543D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21DA"/>
    <w:rsid w:val="00A5239F"/>
    <w:rsid w:val="00A52576"/>
    <w:rsid w:val="00A52EF7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E14"/>
    <w:rsid w:val="00A8171A"/>
    <w:rsid w:val="00A818B2"/>
    <w:rsid w:val="00A8196E"/>
    <w:rsid w:val="00A82B81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59B9"/>
    <w:rsid w:val="00A979C9"/>
    <w:rsid w:val="00A97ABF"/>
    <w:rsid w:val="00AA34D7"/>
    <w:rsid w:val="00AA3789"/>
    <w:rsid w:val="00AA38B9"/>
    <w:rsid w:val="00AA50B6"/>
    <w:rsid w:val="00AA7331"/>
    <w:rsid w:val="00AB06BE"/>
    <w:rsid w:val="00AB0E49"/>
    <w:rsid w:val="00AB1827"/>
    <w:rsid w:val="00AB1E8D"/>
    <w:rsid w:val="00AB2513"/>
    <w:rsid w:val="00AB6A99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7009"/>
    <w:rsid w:val="00AD7977"/>
    <w:rsid w:val="00AD797A"/>
    <w:rsid w:val="00AE00E5"/>
    <w:rsid w:val="00AE0B43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CE6"/>
    <w:rsid w:val="00AE5F67"/>
    <w:rsid w:val="00AF0188"/>
    <w:rsid w:val="00AF02BE"/>
    <w:rsid w:val="00AF0D97"/>
    <w:rsid w:val="00AF1541"/>
    <w:rsid w:val="00AF3668"/>
    <w:rsid w:val="00AF3F4D"/>
    <w:rsid w:val="00AF4A30"/>
    <w:rsid w:val="00AF5BCD"/>
    <w:rsid w:val="00AF7DC4"/>
    <w:rsid w:val="00B00424"/>
    <w:rsid w:val="00B00922"/>
    <w:rsid w:val="00B009D3"/>
    <w:rsid w:val="00B01856"/>
    <w:rsid w:val="00B02ECB"/>
    <w:rsid w:val="00B04CA0"/>
    <w:rsid w:val="00B04D9A"/>
    <w:rsid w:val="00B04E65"/>
    <w:rsid w:val="00B05453"/>
    <w:rsid w:val="00B06CCB"/>
    <w:rsid w:val="00B0757A"/>
    <w:rsid w:val="00B07FD2"/>
    <w:rsid w:val="00B11421"/>
    <w:rsid w:val="00B11D06"/>
    <w:rsid w:val="00B11DBA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1BDF"/>
    <w:rsid w:val="00B2448A"/>
    <w:rsid w:val="00B24CE8"/>
    <w:rsid w:val="00B24DBA"/>
    <w:rsid w:val="00B25622"/>
    <w:rsid w:val="00B26DF4"/>
    <w:rsid w:val="00B30E74"/>
    <w:rsid w:val="00B31AC5"/>
    <w:rsid w:val="00B32113"/>
    <w:rsid w:val="00B33681"/>
    <w:rsid w:val="00B37043"/>
    <w:rsid w:val="00B3791D"/>
    <w:rsid w:val="00B4108D"/>
    <w:rsid w:val="00B431F8"/>
    <w:rsid w:val="00B43494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2AFC"/>
    <w:rsid w:val="00B747D5"/>
    <w:rsid w:val="00B77495"/>
    <w:rsid w:val="00B776CF"/>
    <w:rsid w:val="00B81235"/>
    <w:rsid w:val="00B81258"/>
    <w:rsid w:val="00B815D3"/>
    <w:rsid w:val="00B835F7"/>
    <w:rsid w:val="00B84057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9F"/>
    <w:rsid w:val="00B95912"/>
    <w:rsid w:val="00B95DCE"/>
    <w:rsid w:val="00B9612D"/>
    <w:rsid w:val="00B96392"/>
    <w:rsid w:val="00B9683E"/>
    <w:rsid w:val="00B97363"/>
    <w:rsid w:val="00B975C1"/>
    <w:rsid w:val="00BA2C8E"/>
    <w:rsid w:val="00BA3B9A"/>
    <w:rsid w:val="00BA4E75"/>
    <w:rsid w:val="00BA5C96"/>
    <w:rsid w:val="00BA6184"/>
    <w:rsid w:val="00BA623E"/>
    <w:rsid w:val="00BA71CF"/>
    <w:rsid w:val="00BB1C98"/>
    <w:rsid w:val="00BB48F6"/>
    <w:rsid w:val="00BB49D5"/>
    <w:rsid w:val="00BB4C33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663C"/>
    <w:rsid w:val="00BD1FED"/>
    <w:rsid w:val="00BD35A2"/>
    <w:rsid w:val="00BD4914"/>
    <w:rsid w:val="00BD5E42"/>
    <w:rsid w:val="00BE2720"/>
    <w:rsid w:val="00BE325D"/>
    <w:rsid w:val="00BE424E"/>
    <w:rsid w:val="00BE53B2"/>
    <w:rsid w:val="00BE642E"/>
    <w:rsid w:val="00BE71B4"/>
    <w:rsid w:val="00BE7841"/>
    <w:rsid w:val="00BF174B"/>
    <w:rsid w:val="00BF18B8"/>
    <w:rsid w:val="00BF1B4C"/>
    <w:rsid w:val="00BF2EE5"/>
    <w:rsid w:val="00BF3F05"/>
    <w:rsid w:val="00BF6177"/>
    <w:rsid w:val="00C00F96"/>
    <w:rsid w:val="00C01488"/>
    <w:rsid w:val="00C02063"/>
    <w:rsid w:val="00C0280F"/>
    <w:rsid w:val="00C03211"/>
    <w:rsid w:val="00C03BBC"/>
    <w:rsid w:val="00C05D2A"/>
    <w:rsid w:val="00C06578"/>
    <w:rsid w:val="00C10C5B"/>
    <w:rsid w:val="00C118D9"/>
    <w:rsid w:val="00C12120"/>
    <w:rsid w:val="00C138B3"/>
    <w:rsid w:val="00C1425C"/>
    <w:rsid w:val="00C14480"/>
    <w:rsid w:val="00C159FB"/>
    <w:rsid w:val="00C17C36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1D87"/>
    <w:rsid w:val="00C328BA"/>
    <w:rsid w:val="00C33171"/>
    <w:rsid w:val="00C34992"/>
    <w:rsid w:val="00C351BB"/>
    <w:rsid w:val="00C36768"/>
    <w:rsid w:val="00C40026"/>
    <w:rsid w:val="00C41C74"/>
    <w:rsid w:val="00C42E23"/>
    <w:rsid w:val="00C4309F"/>
    <w:rsid w:val="00C436E1"/>
    <w:rsid w:val="00C43B81"/>
    <w:rsid w:val="00C44600"/>
    <w:rsid w:val="00C46EE8"/>
    <w:rsid w:val="00C46FBC"/>
    <w:rsid w:val="00C5213B"/>
    <w:rsid w:val="00C52354"/>
    <w:rsid w:val="00C528AA"/>
    <w:rsid w:val="00C52EC2"/>
    <w:rsid w:val="00C5565E"/>
    <w:rsid w:val="00C559AE"/>
    <w:rsid w:val="00C57430"/>
    <w:rsid w:val="00C60DEF"/>
    <w:rsid w:val="00C614FE"/>
    <w:rsid w:val="00C62509"/>
    <w:rsid w:val="00C637BA"/>
    <w:rsid w:val="00C637FD"/>
    <w:rsid w:val="00C63E38"/>
    <w:rsid w:val="00C64353"/>
    <w:rsid w:val="00C64F59"/>
    <w:rsid w:val="00C65573"/>
    <w:rsid w:val="00C6566A"/>
    <w:rsid w:val="00C66ADC"/>
    <w:rsid w:val="00C676A7"/>
    <w:rsid w:val="00C67746"/>
    <w:rsid w:val="00C71CEA"/>
    <w:rsid w:val="00C72A22"/>
    <w:rsid w:val="00C74886"/>
    <w:rsid w:val="00C74B64"/>
    <w:rsid w:val="00C756AE"/>
    <w:rsid w:val="00C77F28"/>
    <w:rsid w:val="00C8229B"/>
    <w:rsid w:val="00C82E15"/>
    <w:rsid w:val="00C82F76"/>
    <w:rsid w:val="00C83966"/>
    <w:rsid w:val="00C84368"/>
    <w:rsid w:val="00C850FC"/>
    <w:rsid w:val="00C85CAA"/>
    <w:rsid w:val="00C8605A"/>
    <w:rsid w:val="00C86112"/>
    <w:rsid w:val="00C86BD8"/>
    <w:rsid w:val="00C901DF"/>
    <w:rsid w:val="00C91113"/>
    <w:rsid w:val="00C93474"/>
    <w:rsid w:val="00C957BC"/>
    <w:rsid w:val="00C962A9"/>
    <w:rsid w:val="00C96314"/>
    <w:rsid w:val="00C9668B"/>
    <w:rsid w:val="00C97049"/>
    <w:rsid w:val="00CA263C"/>
    <w:rsid w:val="00CA4CF5"/>
    <w:rsid w:val="00CA54EC"/>
    <w:rsid w:val="00CA562D"/>
    <w:rsid w:val="00CA58EE"/>
    <w:rsid w:val="00CB06EA"/>
    <w:rsid w:val="00CB0E46"/>
    <w:rsid w:val="00CB28B2"/>
    <w:rsid w:val="00CB53E9"/>
    <w:rsid w:val="00CB5965"/>
    <w:rsid w:val="00CB5A5C"/>
    <w:rsid w:val="00CB6FFD"/>
    <w:rsid w:val="00CB7571"/>
    <w:rsid w:val="00CC22B3"/>
    <w:rsid w:val="00CC2803"/>
    <w:rsid w:val="00CC3340"/>
    <w:rsid w:val="00CC4E93"/>
    <w:rsid w:val="00CC555C"/>
    <w:rsid w:val="00CC55B2"/>
    <w:rsid w:val="00CC6CED"/>
    <w:rsid w:val="00CC7999"/>
    <w:rsid w:val="00CC7EC4"/>
    <w:rsid w:val="00CD01E9"/>
    <w:rsid w:val="00CD1DF8"/>
    <w:rsid w:val="00CD21B5"/>
    <w:rsid w:val="00CD4115"/>
    <w:rsid w:val="00CD48F8"/>
    <w:rsid w:val="00CD6398"/>
    <w:rsid w:val="00CD66EB"/>
    <w:rsid w:val="00CE158B"/>
    <w:rsid w:val="00CE4507"/>
    <w:rsid w:val="00CE64A5"/>
    <w:rsid w:val="00CE6502"/>
    <w:rsid w:val="00CE6F8D"/>
    <w:rsid w:val="00CF32C3"/>
    <w:rsid w:val="00CF400E"/>
    <w:rsid w:val="00CF4A0F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439"/>
    <w:rsid w:val="00D11EA0"/>
    <w:rsid w:val="00D123F8"/>
    <w:rsid w:val="00D131C0"/>
    <w:rsid w:val="00D14A0E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872"/>
    <w:rsid w:val="00D41EDC"/>
    <w:rsid w:val="00D428DB"/>
    <w:rsid w:val="00D42D21"/>
    <w:rsid w:val="00D4309B"/>
    <w:rsid w:val="00D43462"/>
    <w:rsid w:val="00D43956"/>
    <w:rsid w:val="00D460BC"/>
    <w:rsid w:val="00D46A13"/>
    <w:rsid w:val="00D46C12"/>
    <w:rsid w:val="00D51E4F"/>
    <w:rsid w:val="00D52DEE"/>
    <w:rsid w:val="00D54522"/>
    <w:rsid w:val="00D5469D"/>
    <w:rsid w:val="00D54C3D"/>
    <w:rsid w:val="00D55218"/>
    <w:rsid w:val="00D606E5"/>
    <w:rsid w:val="00D61808"/>
    <w:rsid w:val="00D61ECF"/>
    <w:rsid w:val="00D62BF4"/>
    <w:rsid w:val="00D641A3"/>
    <w:rsid w:val="00D64A7E"/>
    <w:rsid w:val="00D66177"/>
    <w:rsid w:val="00D66D9A"/>
    <w:rsid w:val="00D7117F"/>
    <w:rsid w:val="00D71B19"/>
    <w:rsid w:val="00D74978"/>
    <w:rsid w:val="00D75D87"/>
    <w:rsid w:val="00D76AC0"/>
    <w:rsid w:val="00D8015D"/>
    <w:rsid w:val="00D80B9B"/>
    <w:rsid w:val="00D86E90"/>
    <w:rsid w:val="00D93730"/>
    <w:rsid w:val="00D93925"/>
    <w:rsid w:val="00D93A16"/>
    <w:rsid w:val="00D94C07"/>
    <w:rsid w:val="00D969F7"/>
    <w:rsid w:val="00DA0260"/>
    <w:rsid w:val="00DA3049"/>
    <w:rsid w:val="00DA3A17"/>
    <w:rsid w:val="00DA3B7F"/>
    <w:rsid w:val="00DA7005"/>
    <w:rsid w:val="00DB09E0"/>
    <w:rsid w:val="00DB1899"/>
    <w:rsid w:val="00DB1B18"/>
    <w:rsid w:val="00DB29B7"/>
    <w:rsid w:val="00DB4465"/>
    <w:rsid w:val="00DB525D"/>
    <w:rsid w:val="00DB5B9E"/>
    <w:rsid w:val="00DB6344"/>
    <w:rsid w:val="00DB6359"/>
    <w:rsid w:val="00DB665E"/>
    <w:rsid w:val="00DC0087"/>
    <w:rsid w:val="00DC1B16"/>
    <w:rsid w:val="00DC5D3F"/>
    <w:rsid w:val="00DC6F1C"/>
    <w:rsid w:val="00DC784B"/>
    <w:rsid w:val="00DD15CC"/>
    <w:rsid w:val="00DD1CED"/>
    <w:rsid w:val="00DD2E33"/>
    <w:rsid w:val="00DD3284"/>
    <w:rsid w:val="00DD349C"/>
    <w:rsid w:val="00DD5B39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F90"/>
    <w:rsid w:val="00E117B6"/>
    <w:rsid w:val="00E12926"/>
    <w:rsid w:val="00E13EDC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C13"/>
    <w:rsid w:val="00E26F4D"/>
    <w:rsid w:val="00E303C3"/>
    <w:rsid w:val="00E303D8"/>
    <w:rsid w:val="00E3115E"/>
    <w:rsid w:val="00E313DC"/>
    <w:rsid w:val="00E31B09"/>
    <w:rsid w:val="00E31F70"/>
    <w:rsid w:val="00E342E0"/>
    <w:rsid w:val="00E34598"/>
    <w:rsid w:val="00E3715D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73C"/>
    <w:rsid w:val="00E50E6D"/>
    <w:rsid w:val="00E520B4"/>
    <w:rsid w:val="00E52556"/>
    <w:rsid w:val="00E548F7"/>
    <w:rsid w:val="00E552D3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6E72"/>
    <w:rsid w:val="00E775ED"/>
    <w:rsid w:val="00E80013"/>
    <w:rsid w:val="00E81300"/>
    <w:rsid w:val="00E8162B"/>
    <w:rsid w:val="00E8664E"/>
    <w:rsid w:val="00E9129A"/>
    <w:rsid w:val="00E9484E"/>
    <w:rsid w:val="00E954C6"/>
    <w:rsid w:val="00E977E9"/>
    <w:rsid w:val="00E97E12"/>
    <w:rsid w:val="00EA0E8F"/>
    <w:rsid w:val="00EA12EE"/>
    <w:rsid w:val="00EA24DD"/>
    <w:rsid w:val="00EA5011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BEF"/>
    <w:rsid w:val="00EC3317"/>
    <w:rsid w:val="00EC3525"/>
    <w:rsid w:val="00EC6652"/>
    <w:rsid w:val="00EC6AB4"/>
    <w:rsid w:val="00EC6D8F"/>
    <w:rsid w:val="00EC6DCE"/>
    <w:rsid w:val="00EC72A8"/>
    <w:rsid w:val="00ED0404"/>
    <w:rsid w:val="00ED077F"/>
    <w:rsid w:val="00ED08FA"/>
    <w:rsid w:val="00ED1216"/>
    <w:rsid w:val="00ED1D6B"/>
    <w:rsid w:val="00ED1DC5"/>
    <w:rsid w:val="00ED2069"/>
    <w:rsid w:val="00ED218A"/>
    <w:rsid w:val="00ED2DFF"/>
    <w:rsid w:val="00ED45F8"/>
    <w:rsid w:val="00ED536D"/>
    <w:rsid w:val="00ED67D0"/>
    <w:rsid w:val="00EE070C"/>
    <w:rsid w:val="00EE0759"/>
    <w:rsid w:val="00EE0B01"/>
    <w:rsid w:val="00EE2AC8"/>
    <w:rsid w:val="00EE2EB1"/>
    <w:rsid w:val="00EE4383"/>
    <w:rsid w:val="00EE4A8B"/>
    <w:rsid w:val="00EE7B05"/>
    <w:rsid w:val="00EF12F1"/>
    <w:rsid w:val="00EF1B9C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489A"/>
    <w:rsid w:val="00F051A6"/>
    <w:rsid w:val="00F07888"/>
    <w:rsid w:val="00F11109"/>
    <w:rsid w:val="00F142D1"/>
    <w:rsid w:val="00F16515"/>
    <w:rsid w:val="00F16879"/>
    <w:rsid w:val="00F16DCA"/>
    <w:rsid w:val="00F17D95"/>
    <w:rsid w:val="00F21D49"/>
    <w:rsid w:val="00F22D0A"/>
    <w:rsid w:val="00F22EC7"/>
    <w:rsid w:val="00F257FD"/>
    <w:rsid w:val="00F25DF9"/>
    <w:rsid w:val="00F25EE8"/>
    <w:rsid w:val="00F265B6"/>
    <w:rsid w:val="00F2792A"/>
    <w:rsid w:val="00F30618"/>
    <w:rsid w:val="00F3114D"/>
    <w:rsid w:val="00F34CEF"/>
    <w:rsid w:val="00F35F35"/>
    <w:rsid w:val="00F36FD6"/>
    <w:rsid w:val="00F4019D"/>
    <w:rsid w:val="00F468DE"/>
    <w:rsid w:val="00F50406"/>
    <w:rsid w:val="00F50847"/>
    <w:rsid w:val="00F51083"/>
    <w:rsid w:val="00F5172C"/>
    <w:rsid w:val="00F5202D"/>
    <w:rsid w:val="00F530A2"/>
    <w:rsid w:val="00F54599"/>
    <w:rsid w:val="00F551F3"/>
    <w:rsid w:val="00F55FFB"/>
    <w:rsid w:val="00F5795D"/>
    <w:rsid w:val="00F6416C"/>
    <w:rsid w:val="00F659D4"/>
    <w:rsid w:val="00F66091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BE3"/>
    <w:rsid w:val="00F952C4"/>
    <w:rsid w:val="00F952DB"/>
    <w:rsid w:val="00F97CED"/>
    <w:rsid w:val="00FA0118"/>
    <w:rsid w:val="00FA05D0"/>
    <w:rsid w:val="00FA05EB"/>
    <w:rsid w:val="00FA0C2D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7352"/>
    <w:rsid w:val="00FD2042"/>
    <w:rsid w:val="00FD3C01"/>
    <w:rsid w:val="00FD439E"/>
    <w:rsid w:val="00FD61FD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F2C79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2">
    <w:name w:val="Сетка таблицы2"/>
    <w:basedOn w:val="a1"/>
    <w:next w:val="ad"/>
    <w:rsid w:val="00F66B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FA0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05FB-36D8-4765-9CD6-7EAC392F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5759</TotalTime>
  <Pages>14</Pages>
  <Words>6352</Words>
  <Characters>36212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136</cp:revision>
  <cp:lastPrinted>2020-05-28T07:14:00Z</cp:lastPrinted>
  <dcterms:created xsi:type="dcterms:W3CDTF">2019-05-08T01:40:00Z</dcterms:created>
  <dcterms:modified xsi:type="dcterms:W3CDTF">2020-05-28T07:16:00Z</dcterms:modified>
</cp:coreProperties>
</file>