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tbl>
      <w:tblPr>
        <w:tblW w:w="9597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99"/>
      </w:tblGrid>
      <w:tr w:rsidR="00655EE9" w:rsidRPr="00655EE9" w:rsidTr="00A21337">
        <w:trPr>
          <w:gridAfter w:val="1"/>
          <w:wAfter w:w="99" w:type="dxa"/>
          <w:trHeight w:val="14048"/>
        </w:trPr>
        <w:tc>
          <w:tcPr>
            <w:tcW w:w="9498" w:type="dxa"/>
            <w:tcBorders>
              <w:top w:val="nil"/>
              <w:bottom w:val="nil"/>
            </w:tcBorders>
            <w:shd w:val="clear" w:color="auto" w:fill="auto"/>
          </w:tcPr>
          <w:p w:rsidR="00DF0B00" w:rsidRDefault="00EE5ABB" w:rsidP="00DF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КОНТРОЛЬНО-СЧЕТНАЯ ПАЛАТА ЛЕСОЗАВОДСКОГО ГОРОДСКОГО ОКРУГА</w:t>
            </w:r>
          </w:p>
          <w:p w:rsidR="00DF0B00" w:rsidRDefault="00DF0B00" w:rsidP="00DF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F0B00" w:rsidRDefault="00DF0B00" w:rsidP="00DF0B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4466A0" w:rsidRDefault="009C10EB" w:rsidP="004466A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655EE9"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4466A0" w:rsidRDefault="00655EE9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4466A0" w:rsidRDefault="00655EE9" w:rsidP="004466A0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4466A0" w:rsidRDefault="004B570D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97FE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55EE9" w:rsidRPr="004466A0" w:rsidRDefault="00655EE9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4466A0" w:rsidRDefault="00AF1B3C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4466A0" w:rsidRDefault="00655EE9" w:rsidP="00446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4466A0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и плановый период 2020 и 2021 годов, утвержденный решением Думы Лесозаводского городского округа от 21.12.2018  №54-НПА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Pr="004466A0" w:rsidRDefault="00655EE9" w:rsidP="00446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и плановый период 2020 и 2021 годов, утвержденный решением Думы Лесозаводского городского округа от 21.12.2018  №54-НПА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4B570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97FE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B570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329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0C25" w:rsidRPr="004466A0" w:rsidRDefault="00161FD2" w:rsidP="0044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70C25"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655EE9" w:rsidRPr="004466A0" w:rsidRDefault="00655EE9" w:rsidP="004466A0">
            <w:pPr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44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2B7EA0" w:rsidRPr="004466A0" w:rsidRDefault="002B7EA0" w:rsidP="004466A0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бюджет Лесозаводского городского округа на 2019 год и на плановый период 2020 и 2021 годов</w:t>
            </w:r>
            <w:r w:rsidR="00307E9E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вносятся </w:t>
            </w:r>
            <w:r w:rsidR="004B570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седьмой</w:t>
            </w:r>
            <w:r w:rsidR="00297FE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раз. </w:t>
            </w:r>
          </w:p>
          <w:p w:rsidR="006A7940" w:rsidRPr="004466A0" w:rsidRDefault="006A7940" w:rsidP="004466A0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</w:t>
            </w:r>
            <w:r w:rsidR="00925B0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изменяются 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="007D3C4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</w:t>
            </w:r>
            <w:r w:rsidR="007D3C4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D3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иные показатели 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Лесозаводского городского округа на 201</w:t>
            </w:r>
            <w:r w:rsidR="00F0329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925B0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характеристики бюджета на</w:t>
            </w:r>
            <w:r w:rsidR="002B7EA0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2020 и 2021 годов</w:t>
            </w:r>
            <w:r w:rsidR="00925B0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изменяются</w:t>
            </w:r>
            <w:r w:rsidR="003C3E8D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5D0" w:rsidRPr="004466A0" w:rsidRDefault="00AE0D3B" w:rsidP="004466A0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вносимых изменений по основным характеристикам бюджета Лесозаводского городского округа на 2019 год представлен в таблице </w:t>
            </w:r>
            <w:r w:rsidR="00F6199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F6199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F6199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F6199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F6199B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.):   </w:t>
            </w:r>
            <w:r w:rsidR="00925B0A"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25B0A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25B0A" w:rsidRPr="004466A0" w:rsidRDefault="00925B0A" w:rsidP="004466A0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tbl>
            <w:tblPr>
              <w:tblW w:w="8042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991"/>
              <w:gridCol w:w="1454"/>
              <w:gridCol w:w="1490"/>
              <w:gridCol w:w="1473"/>
            </w:tblGrid>
            <w:tr w:rsidR="004466A0" w:rsidRPr="004466A0" w:rsidTr="00D836D0">
              <w:trPr>
                <w:trHeight w:val="93"/>
                <w:tblCellSpacing w:w="0" w:type="dxa"/>
              </w:trPr>
              <w:tc>
                <w:tcPr>
                  <w:tcW w:w="1634" w:type="dxa"/>
                  <w:vMerge w:val="restart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1" w:type="dxa"/>
                  <w:vMerge w:val="restart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решение Думы ЛГО от </w:t>
                  </w:r>
                  <w:r w:rsidR="004B570D"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30.10</w:t>
                  </w: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.2019 </w:t>
                  </w:r>
                  <w:r w:rsidR="006725D0"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</w:t>
                  </w: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867A41"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  <w:r w:rsidR="004B570D"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-НПА</w:t>
                  </w:r>
                </w:p>
              </w:tc>
              <w:tc>
                <w:tcPr>
                  <w:tcW w:w="1454" w:type="dxa"/>
                  <w:vMerge w:val="restart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963" w:type="dxa"/>
                  <w:gridSpan w:val="2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Отклонения</w:t>
                  </w:r>
                </w:p>
              </w:tc>
            </w:tr>
            <w:tr w:rsidR="004466A0" w:rsidRPr="004466A0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Merge/>
                  <w:vAlign w:val="center"/>
                  <w:hideMark/>
                </w:tcPr>
                <w:p w:rsidR="00925B0A" w:rsidRPr="004466A0" w:rsidRDefault="00925B0A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91" w:type="dxa"/>
                  <w:vMerge/>
                </w:tcPr>
                <w:p w:rsidR="00925B0A" w:rsidRPr="004466A0" w:rsidRDefault="00925B0A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54" w:type="dxa"/>
                  <w:vMerge/>
                  <w:vAlign w:val="center"/>
                  <w:hideMark/>
                </w:tcPr>
                <w:p w:rsidR="00925B0A" w:rsidRPr="004466A0" w:rsidRDefault="00925B0A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90" w:type="dxa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(гр.4-гр.3)</w:t>
                  </w:r>
                </w:p>
              </w:tc>
              <w:tc>
                <w:tcPr>
                  <w:tcW w:w="1473" w:type="dxa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Темп роста %</w:t>
                  </w:r>
                </w:p>
              </w:tc>
            </w:tr>
            <w:tr w:rsidR="004466A0" w:rsidRPr="004466A0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991" w:type="dxa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490" w:type="dxa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473" w:type="dxa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4466A0" w:rsidRPr="004466A0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Доходы</w:t>
                  </w:r>
                </w:p>
              </w:tc>
              <w:tc>
                <w:tcPr>
                  <w:tcW w:w="1991" w:type="dxa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1325393,88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1329020,31</w:t>
                  </w:r>
                </w:p>
              </w:tc>
              <w:tc>
                <w:tcPr>
                  <w:tcW w:w="1490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3626,43</w:t>
                  </w:r>
                </w:p>
              </w:tc>
              <w:tc>
                <w:tcPr>
                  <w:tcW w:w="1473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100,3</w:t>
                  </w:r>
                </w:p>
              </w:tc>
            </w:tr>
            <w:tr w:rsidR="004466A0" w:rsidRPr="004466A0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Расходы</w:t>
                  </w:r>
                </w:p>
              </w:tc>
              <w:tc>
                <w:tcPr>
                  <w:tcW w:w="1991" w:type="dxa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1349577,88</w:t>
                  </w:r>
                </w:p>
              </w:tc>
              <w:tc>
                <w:tcPr>
                  <w:tcW w:w="1454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1353204,31</w:t>
                  </w:r>
                </w:p>
              </w:tc>
              <w:tc>
                <w:tcPr>
                  <w:tcW w:w="1490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3626,43</w:t>
                  </w:r>
                </w:p>
              </w:tc>
              <w:tc>
                <w:tcPr>
                  <w:tcW w:w="1473" w:type="dxa"/>
                  <w:vAlign w:val="center"/>
                </w:tcPr>
                <w:p w:rsidR="004B570D" w:rsidRPr="004466A0" w:rsidRDefault="004B570D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100,3</w:t>
                  </w:r>
                </w:p>
              </w:tc>
            </w:tr>
            <w:tr w:rsidR="004466A0" w:rsidRPr="004466A0" w:rsidTr="00A6166F">
              <w:trPr>
                <w:trHeight w:val="93"/>
                <w:tblCellSpacing w:w="0" w:type="dxa"/>
              </w:trPr>
              <w:tc>
                <w:tcPr>
                  <w:tcW w:w="1634" w:type="dxa"/>
                  <w:vAlign w:val="center"/>
                  <w:hideMark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Дефицит</w:t>
                  </w:r>
                </w:p>
              </w:tc>
              <w:tc>
                <w:tcPr>
                  <w:tcW w:w="1991" w:type="dxa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24184,0</w:t>
                  </w:r>
                </w:p>
              </w:tc>
              <w:tc>
                <w:tcPr>
                  <w:tcW w:w="1454" w:type="dxa"/>
                  <w:vAlign w:val="center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24184,0</w:t>
                  </w:r>
                </w:p>
              </w:tc>
              <w:tc>
                <w:tcPr>
                  <w:tcW w:w="1490" w:type="dxa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473" w:type="dxa"/>
                </w:tcPr>
                <w:p w:rsidR="00925B0A" w:rsidRPr="004466A0" w:rsidRDefault="00925B0A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</w:tbl>
          <w:p w:rsidR="00925B0A" w:rsidRPr="004466A0" w:rsidRDefault="00925B0A" w:rsidP="004466A0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D3B" w:rsidRPr="004466A0" w:rsidRDefault="00AE0D3B" w:rsidP="004466A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 доходы и расходы бюджета увеличиваются  на </w:t>
            </w:r>
            <w:r w:rsidR="004B570D" w:rsidRPr="004466A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3626,43</w:t>
            </w:r>
            <w:r w:rsidRPr="004466A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тыс. руб. 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r w:rsidR="006749A2" w:rsidRPr="004466A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B570D" w:rsidRPr="00446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031403"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утвержденным бюджетом Лесозаводского городского округа на 2019 год и плановый период 2020 и 2021 годов» (в ред. от </w:t>
            </w:r>
            <w:r w:rsidR="004B570D" w:rsidRPr="004466A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031403"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.2019 № </w:t>
            </w:r>
            <w:r w:rsidR="00867A41" w:rsidRPr="00446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70D" w:rsidRPr="004466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1403" w:rsidRPr="004466A0">
              <w:rPr>
                <w:rFonts w:ascii="Times New Roman" w:hAnsi="Times New Roman" w:cs="Times New Roman"/>
                <w:sz w:val="24"/>
                <w:szCs w:val="24"/>
              </w:rPr>
              <w:t>-НПА)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>. Дефицит бюджета не изменяется и составляет  24184</w:t>
            </w:r>
            <w:r w:rsidRPr="004466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35B5E" w:rsidRPr="004466A0" w:rsidRDefault="00E40E29" w:rsidP="004466A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Уточнены также иные показатели бюджета </w:t>
            </w:r>
            <w:r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Лесозаводского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031403"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7FED" w:rsidRPr="004466A0" w:rsidRDefault="00297FED" w:rsidP="004466A0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</w:rPr>
              <w:t>увеличивается объем межбюджетных трансфертов</w:t>
            </w:r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, получаемых из вышестоящих </w:t>
            </w:r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 xml:space="preserve">бюджетов на </w:t>
            </w:r>
            <w:r w:rsidR="004B570D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1176,43</w:t>
            </w:r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и составит </w:t>
            </w:r>
            <w:r w:rsidR="004B570D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821546,31</w:t>
            </w:r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тыс.руб</w:t>
            </w:r>
            <w:proofErr w:type="spellEnd"/>
            <w:r w:rsidR="006329DF" w:rsidRPr="004466A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</w:t>
            </w:r>
          </w:p>
          <w:p w:rsidR="00A803DB" w:rsidRPr="004466A0" w:rsidRDefault="00A803DB" w:rsidP="004466A0">
            <w:pPr>
              <w:shd w:val="clear" w:color="auto" w:fill="FFFFFF"/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</w:pPr>
            <w:r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         Проектом решения вносятся изменения в </w:t>
            </w:r>
            <w:r w:rsidR="006329DF"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>6</w:t>
            </w:r>
            <w:r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приложений к решению Думы 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</w:t>
            </w:r>
            <w:r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городского округа от 21.12.2018 № 54-НПА «О бюджете</w:t>
            </w: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</w:t>
            </w:r>
            <w:r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 городского округа на 2019 год и плановый период 2020 и 2021 годов» (в ред. от </w:t>
            </w:r>
            <w:r w:rsidR="004B570D" w:rsidRPr="004466A0">
              <w:rPr>
                <w:rFonts w:ascii="Times New Roman" w:hAnsi="Times New Roman" w:cs="Times New Roman"/>
                <w:sz w:val="24"/>
                <w:szCs w:val="24"/>
              </w:rPr>
              <w:t>30.10.2019 № 130-НПА</w:t>
            </w:r>
            <w:r w:rsidRPr="004466A0">
              <w:rPr>
                <w:rFonts w:ascii="Open Sans" w:eastAsia="Times New Roman" w:hAnsi="Open Sans" w:cs="Arial"/>
                <w:sz w:val="24"/>
                <w:szCs w:val="24"/>
                <w:lang w:eastAsia="ru-RU"/>
              </w:rPr>
              <w:t xml:space="preserve">). </w:t>
            </w:r>
          </w:p>
          <w:p w:rsidR="00031403" w:rsidRPr="004466A0" w:rsidRDefault="00031403" w:rsidP="004466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2E0BC7" w:rsidRPr="004466A0" w:rsidRDefault="002E0BC7" w:rsidP="004466A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762DD" w:rsidRPr="004466A0" w:rsidRDefault="00216D52" w:rsidP="004466A0">
            <w:pPr>
              <w:pStyle w:val="ae"/>
              <w:ind w:left="0" w:firstLine="720"/>
              <w:jc w:val="both"/>
            </w:pPr>
            <w:r w:rsidRPr="004466A0">
              <w:rPr>
                <w:rFonts w:eastAsia="Calibri"/>
              </w:rPr>
              <w:t xml:space="preserve"> Согласно проекту решения доходы бюджета на 2019 год </w:t>
            </w:r>
            <w:r w:rsidR="0047127E" w:rsidRPr="004466A0">
              <w:t xml:space="preserve">увеличиваются </w:t>
            </w:r>
            <w:r w:rsidR="00385DA7" w:rsidRPr="004466A0">
              <w:t xml:space="preserve">по сравнению с утвержденным бюджетом </w:t>
            </w:r>
            <w:r w:rsidR="0047127E" w:rsidRPr="004466A0">
              <w:t>на</w:t>
            </w:r>
            <w:r w:rsidR="00385DA7" w:rsidRPr="004466A0">
              <w:t xml:space="preserve"> сумму </w:t>
            </w:r>
            <w:r w:rsidR="0047127E" w:rsidRPr="004466A0">
              <w:t xml:space="preserve"> </w:t>
            </w:r>
            <w:r w:rsidR="00F762DD" w:rsidRPr="004466A0">
              <w:rPr>
                <w:b/>
              </w:rPr>
              <w:t>3626,43</w:t>
            </w:r>
            <w:r w:rsidR="0047127E" w:rsidRPr="004466A0">
              <w:t xml:space="preserve"> </w:t>
            </w:r>
            <w:proofErr w:type="spellStart"/>
            <w:r w:rsidR="0047127E" w:rsidRPr="004466A0">
              <w:t>тыс</w:t>
            </w:r>
            <w:proofErr w:type="gramStart"/>
            <w:r w:rsidR="0047127E" w:rsidRPr="004466A0">
              <w:t>.р</w:t>
            </w:r>
            <w:proofErr w:type="gramEnd"/>
            <w:r w:rsidR="0047127E" w:rsidRPr="004466A0">
              <w:t>уб</w:t>
            </w:r>
            <w:proofErr w:type="spellEnd"/>
            <w:r w:rsidR="0047127E" w:rsidRPr="004466A0">
              <w:t xml:space="preserve">. </w:t>
            </w:r>
            <w:r w:rsidR="00385DA7" w:rsidRPr="004466A0">
              <w:t xml:space="preserve">или </w:t>
            </w:r>
            <w:r w:rsidR="0047127E" w:rsidRPr="004466A0">
              <w:t xml:space="preserve">на </w:t>
            </w:r>
            <w:r w:rsidR="00867A41" w:rsidRPr="004466A0">
              <w:t>0,</w:t>
            </w:r>
            <w:r w:rsidR="00F762DD" w:rsidRPr="004466A0">
              <w:t>3</w:t>
            </w:r>
            <w:r w:rsidR="0047127E" w:rsidRPr="004466A0">
              <w:t>%</w:t>
            </w:r>
            <w:r w:rsidR="00385DA7" w:rsidRPr="004466A0">
              <w:t xml:space="preserve"> </w:t>
            </w:r>
            <w:r w:rsidR="0047127E" w:rsidRPr="004466A0">
              <w:t xml:space="preserve"> за счет</w:t>
            </w:r>
            <w:r w:rsidR="00385DA7" w:rsidRPr="004466A0">
              <w:t xml:space="preserve"> увеличения</w:t>
            </w:r>
            <w:r w:rsidR="00F762DD" w:rsidRPr="004466A0">
              <w:t>:</w:t>
            </w:r>
          </w:p>
          <w:p w:rsidR="00F762DD" w:rsidRPr="00F762DD" w:rsidRDefault="00F762DD" w:rsidP="004466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вносимых изменений по доходам бюджета Лесозаводского городского округа на 2019 год представлен в таблице:   </w:t>
            </w:r>
          </w:p>
          <w:p w:rsidR="00F762DD" w:rsidRPr="00F762DD" w:rsidRDefault="00F762DD" w:rsidP="004466A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7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F7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7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7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F76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tbl>
            <w:tblPr>
              <w:tblW w:w="938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1824"/>
              <w:gridCol w:w="1134"/>
              <w:gridCol w:w="1276"/>
              <w:gridCol w:w="1011"/>
            </w:tblGrid>
            <w:tr w:rsidR="004466A0" w:rsidRPr="00F762DD" w:rsidTr="00F762DD">
              <w:trPr>
                <w:tblCellSpacing w:w="0" w:type="dxa"/>
              </w:trPr>
              <w:tc>
                <w:tcPr>
                  <w:tcW w:w="4140" w:type="dxa"/>
                  <w:vMerge w:val="restart"/>
                  <w:vAlign w:val="center"/>
                  <w:hideMark/>
                </w:tcPr>
                <w:p w:rsidR="00F762DD" w:rsidRPr="00F762DD" w:rsidRDefault="00F762D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824" w:type="dxa"/>
                  <w:vMerge w:val="restart"/>
                  <w:vAlign w:val="center"/>
                  <w:hideMark/>
                </w:tcPr>
                <w:p w:rsidR="00F762DD" w:rsidRPr="00F762DD" w:rsidRDefault="00F762D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Утвержденный бюджет на 2019 год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F762DD" w:rsidRPr="00F762DD" w:rsidRDefault="00F762D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287" w:type="dxa"/>
                  <w:gridSpan w:val="2"/>
                  <w:vAlign w:val="center"/>
                  <w:hideMark/>
                </w:tcPr>
                <w:p w:rsidR="00F762DD" w:rsidRPr="00F762DD" w:rsidRDefault="00F762DD" w:rsidP="004466A0">
                  <w:pPr>
                    <w:ind w:right="25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4466A0" w:rsidRPr="00F762DD" w:rsidTr="00F762DD">
              <w:trPr>
                <w:tblCellSpacing w:w="0" w:type="dxa"/>
              </w:trPr>
              <w:tc>
                <w:tcPr>
                  <w:tcW w:w="4140" w:type="dxa"/>
                  <w:vMerge/>
                  <w:vAlign w:val="center"/>
                  <w:hideMark/>
                </w:tcPr>
                <w:p w:rsidR="00F762DD" w:rsidRPr="00F762DD" w:rsidRDefault="00F762DD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24" w:type="dxa"/>
                  <w:vMerge/>
                  <w:vAlign w:val="center"/>
                  <w:hideMark/>
                </w:tcPr>
                <w:p w:rsidR="00F762DD" w:rsidRPr="00F762DD" w:rsidRDefault="00F762DD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F762DD" w:rsidRPr="00F762DD" w:rsidRDefault="00F762DD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F762DD" w:rsidRPr="00F762DD" w:rsidRDefault="00F762D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1011" w:type="dxa"/>
                  <w:vAlign w:val="center"/>
                  <w:hideMark/>
                </w:tcPr>
                <w:p w:rsidR="00F762DD" w:rsidRPr="00F762DD" w:rsidRDefault="00F762DD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4466A0" w:rsidRPr="00F762DD" w:rsidTr="00F762DD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4466A0" w:rsidRPr="00F762DD" w:rsidRDefault="004466A0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 -</w:t>
                  </w:r>
                  <w:r w:rsidRPr="00F762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всего</w:t>
                  </w:r>
                </w:p>
              </w:tc>
              <w:tc>
                <w:tcPr>
                  <w:tcW w:w="182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1325393,88</w:t>
                  </w:r>
                </w:p>
              </w:tc>
              <w:tc>
                <w:tcPr>
                  <w:tcW w:w="113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1329020,31</w:t>
                  </w:r>
                </w:p>
              </w:tc>
              <w:tc>
                <w:tcPr>
                  <w:tcW w:w="1276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3626,43</w:t>
                  </w:r>
                </w:p>
              </w:tc>
              <w:tc>
                <w:tcPr>
                  <w:tcW w:w="1011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100,3</w:t>
                  </w:r>
                </w:p>
              </w:tc>
            </w:tr>
            <w:tr w:rsidR="004466A0" w:rsidRPr="004466A0" w:rsidTr="00F762DD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</w:tcPr>
                <w:p w:rsidR="004466A0" w:rsidRPr="004466A0" w:rsidRDefault="004466A0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Налоговые и неналоговые доходы</w:t>
                  </w:r>
                  <w:r w:rsidRPr="004466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824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505024</w:t>
                  </w:r>
                </w:p>
              </w:tc>
              <w:tc>
                <w:tcPr>
                  <w:tcW w:w="1134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507474</w:t>
                  </w:r>
                </w:p>
              </w:tc>
              <w:tc>
                <w:tcPr>
                  <w:tcW w:w="1276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2450</w:t>
                  </w:r>
                </w:p>
              </w:tc>
              <w:tc>
                <w:tcPr>
                  <w:tcW w:w="1011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100,5</w:t>
                  </w:r>
                </w:p>
              </w:tc>
            </w:tr>
            <w:tr w:rsidR="004466A0" w:rsidRPr="004466A0" w:rsidTr="00F762DD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</w:tcPr>
                <w:p w:rsidR="004466A0" w:rsidRPr="004466A0" w:rsidRDefault="004466A0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824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461578</w:t>
                  </w:r>
                </w:p>
              </w:tc>
              <w:tc>
                <w:tcPr>
                  <w:tcW w:w="1134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462578</w:t>
                  </w:r>
                </w:p>
              </w:tc>
              <w:tc>
                <w:tcPr>
                  <w:tcW w:w="1276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1000</w:t>
                  </w:r>
                </w:p>
              </w:tc>
              <w:tc>
                <w:tcPr>
                  <w:tcW w:w="1011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100,2</w:t>
                  </w:r>
                </w:p>
              </w:tc>
            </w:tr>
            <w:tr w:rsidR="004466A0" w:rsidRPr="00F762DD" w:rsidTr="004466A0">
              <w:trPr>
                <w:trHeight w:val="334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4466A0" w:rsidRPr="00F762DD" w:rsidRDefault="004466A0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82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43446</w:t>
                  </w:r>
                </w:p>
              </w:tc>
              <w:tc>
                <w:tcPr>
                  <w:tcW w:w="113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lang w:eastAsia="ru-RU"/>
                    </w:rPr>
                    <w:t>44896</w:t>
                  </w:r>
                </w:p>
              </w:tc>
              <w:tc>
                <w:tcPr>
                  <w:tcW w:w="1276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1450</w:t>
                  </w:r>
                </w:p>
              </w:tc>
              <w:tc>
                <w:tcPr>
                  <w:tcW w:w="1011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466A0">
                    <w:rPr>
                      <w:rFonts w:ascii="Times New Roman" w:hAnsi="Times New Roman" w:cs="Times New Roman"/>
                    </w:rPr>
                    <w:t>103,3</w:t>
                  </w:r>
                </w:p>
              </w:tc>
            </w:tr>
            <w:tr w:rsidR="004466A0" w:rsidRPr="00F762DD" w:rsidTr="004466A0">
              <w:trPr>
                <w:trHeight w:val="268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4466A0" w:rsidRPr="00F762DD" w:rsidRDefault="004466A0" w:rsidP="004466A0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762D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2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820369,88</w:t>
                  </w:r>
                </w:p>
              </w:tc>
              <w:tc>
                <w:tcPr>
                  <w:tcW w:w="1134" w:type="dxa"/>
                  <w:vAlign w:val="center"/>
                </w:tcPr>
                <w:p w:rsidR="004466A0" w:rsidRPr="00F762DD" w:rsidRDefault="004466A0" w:rsidP="004466A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821546,31</w:t>
                  </w:r>
                </w:p>
              </w:tc>
              <w:tc>
                <w:tcPr>
                  <w:tcW w:w="1276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1176,43</w:t>
                  </w:r>
                </w:p>
              </w:tc>
              <w:tc>
                <w:tcPr>
                  <w:tcW w:w="1011" w:type="dxa"/>
                  <w:vAlign w:val="center"/>
                </w:tcPr>
                <w:p w:rsidR="004466A0" w:rsidRPr="004466A0" w:rsidRDefault="004466A0" w:rsidP="004466A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bCs/>
                    </w:rPr>
                    <w:t>100,1</w:t>
                  </w:r>
                </w:p>
              </w:tc>
            </w:tr>
          </w:tbl>
          <w:p w:rsidR="00F762DD" w:rsidRPr="004466A0" w:rsidRDefault="00F762DD" w:rsidP="004466A0">
            <w:pPr>
              <w:pStyle w:val="ae"/>
              <w:ind w:left="0" w:firstLine="720"/>
              <w:jc w:val="both"/>
            </w:pPr>
          </w:p>
          <w:p w:rsidR="004466A0" w:rsidRP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4466A0">
              <w:t xml:space="preserve">              </w:t>
            </w:r>
            <w:r w:rsidRPr="004466A0">
              <w:rPr>
                <w:b/>
              </w:rPr>
              <w:t>Налоговые доходы</w:t>
            </w:r>
            <w:r w:rsidRPr="004466A0">
              <w:t xml:space="preserve"> увеличиваются на 1000 </w:t>
            </w:r>
            <w:proofErr w:type="spellStart"/>
            <w:r w:rsidRPr="004466A0">
              <w:t>тыс</w:t>
            </w:r>
            <w:proofErr w:type="gramStart"/>
            <w:r w:rsidRPr="004466A0">
              <w:t>.р</w:t>
            </w:r>
            <w:proofErr w:type="gramEnd"/>
            <w:r w:rsidRPr="004466A0">
              <w:t>уб</w:t>
            </w:r>
            <w:proofErr w:type="spellEnd"/>
            <w:r w:rsidRPr="004466A0">
              <w:t>.</w:t>
            </w:r>
            <w:r w:rsidR="003B3C66">
              <w:t xml:space="preserve"> или на 0,2% </w:t>
            </w:r>
            <w:r w:rsidRPr="004466A0">
              <w:t xml:space="preserve"> на основании прогноза администратора доходов – Межрайонной инспекции № 7 Федеральной налоговой службы по Приморскому краю, основанного на динамике поступлений отдельных налоговых доходов</w:t>
            </w:r>
            <w:r>
              <w:t>, в</w:t>
            </w:r>
            <w:r w:rsidRPr="004466A0">
              <w:t xml:space="preserve"> том числе: </w:t>
            </w:r>
          </w:p>
          <w:p w:rsidR="004466A0" w:rsidRP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</w:t>
            </w:r>
            <w:r w:rsidR="003B3C66">
              <w:t xml:space="preserve">    </w:t>
            </w:r>
            <w:r>
              <w:t xml:space="preserve">- </w:t>
            </w:r>
            <w:r w:rsidRPr="004466A0">
              <w:t xml:space="preserve">по налогу на доходы физических лиц – увеличение на 3500 </w:t>
            </w:r>
            <w:proofErr w:type="spellStart"/>
            <w:r w:rsidRPr="004466A0">
              <w:t>тыс</w:t>
            </w:r>
            <w:proofErr w:type="gramStart"/>
            <w:r w:rsidRPr="004466A0">
              <w:t>.р</w:t>
            </w:r>
            <w:proofErr w:type="gramEnd"/>
            <w:r w:rsidRPr="004466A0">
              <w:t>уб</w:t>
            </w:r>
            <w:proofErr w:type="spellEnd"/>
            <w:r w:rsidRPr="004466A0">
              <w:t>.</w:t>
            </w:r>
            <w:r w:rsidR="006B66BD">
              <w:t xml:space="preserve"> или на 1% (план составит 360764 </w:t>
            </w:r>
            <w:proofErr w:type="spellStart"/>
            <w:r w:rsidR="006B66BD">
              <w:t>тыс.руб</w:t>
            </w:r>
            <w:proofErr w:type="spellEnd"/>
            <w:r w:rsidR="006B66BD">
              <w:t>.)</w:t>
            </w:r>
            <w:r w:rsidRPr="004466A0">
              <w:t xml:space="preserve">; </w:t>
            </w:r>
          </w:p>
          <w:p w:rsidR="004466A0" w:rsidRP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</w:t>
            </w:r>
            <w:r w:rsidR="003B3C66">
              <w:t xml:space="preserve">   </w:t>
            </w:r>
            <w:r>
              <w:t xml:space="preserve">- </w:t>
            </w:r>
            <w:r w:rsidRPr="004466A0">
              <w:t xml:space="preserve">по единому сельскохозяйственному налогу – уменьшение на 2500 </w:t>
            </w:r>
            <w:proofErr w:type="spellStart"/>
            <w:r w:rsidRPr="004466A0">
              <w:t>тыс</w:t>
            </w:r>
            <w:proofErr w:type="gramStart"/>
            <w:r w:rsidRPr="004466A0">
              <w:t>.р</w:t>
            </w:r>
            <w:proofErr w:type="gramEnd"/>
            <w:r w:rsidRPr="004466A0">
              <w:t>уб</w:t>
            </w:r>
            <w:proofErr w:type="spellEnd"/>
            <w:r w:rsidRPr="004466A0">
              <w:t xml:space="preserve">. </w:t>
            </w:r>
            <w:r w:rsidR="006B66BD">
              <w:t xml:space="preserve">(план составит 620 </w:t>
            </w:r>
            <w:proofErr w:type="spellStart"/>
            <w:r w:rsidR="006B66BD">
              <w:t>тыс.руб</w:t>
            </w:r>
            <w:proofErr w:type="spellEnd"/>
            <w:r w:rsidR="006B66BD">
              <w:t>.).</w:t>
            </w:r>
          </w:p>
          <w:p w:rsid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4466A0" w:rsidRP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   </w:t>
            </w:r>
            <w:r w:rsidRPr="004466A0">
              <w:rPr>
                <w:b/>
              </w:rPr>
              <w:t>Неналоговые доходы</w:t>
            </w:r>
            <w:r w:rsidRPr="004466A0">
              <w:t xml:space="preserve"> увеличиваются на </w:t>
            </w:r>
            <w:r>
              <w:t xml:space="preserve">1450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3B3C66">
              <w:t xml:space="preserve"> или на 3,3%</w:t>
            </w:r>
            <w:r>
              <w:t xml:space="preserve"> , в</w:t>
            </w:r>
            <w:r w:rsidRPr="004466A0">
              <w:t xml:space="preserve"> том числе: </w:t>
            </w:r>
          </w:p>
          <w:p w:rsidR="004466A0" w:rsidRPr="004466A0" w:rsidRDefault="004466A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      </w:t>
            </w:r>
            <w:r w:rsidR="003B3C66">
              <w:t xml:space="preserve">   </w:t>
            </w:r>
            <w:r>
              <w:t xml:space="preserve">- </w:t>
            </w:r>
            <w:r w:rsidRPr="004466A0">
              <w:t xml:space="preserve">доходы от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– увеличение на </w:t>
            </w:r>
            <w:r>
              <w:t xml:space="preserve">700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6B66BD">
              <w:t xml:space="preserve"> или на 3,2% (план составит 22200 </w:t>
            </w:r>
            <w:proofErr w:type="spellStart"/>
            <w:r w:rsidR="006B66BD">
              <w:t>тыс.руб</w:t>
            </w:r>
            <w:proofErr w:type="spellEnd"/>
            <w:r w:rsidR="006B66BD">
              <w:t>.)</w:t>
            </w:r>
            <w:r w:rsidRPr="004466A0">
              <w:t xml:space="preserve">; </w:t>
            </w:r>
          </w:p>
          <w:p w:rsidR="00F762DD" w:rsidRPr="003B3C66" w:rsidRDefault="003B3C66" w:rsidP="004466A0">
            <w:pPr>
              <w:pStyle w:val="ae"/>
              <w:ind w:left="0" w:firstLine="720"/>
              <w:jc w:val="both"/>
              <w:rPr>
                <w:rFonts w:ascii="Open Sans" w:hAnsi="Open Sans" w:cs="Arial"/>
              </w:rPr>
            </w:pPr>
            <w:r w:rsidRPr="003B3C66">
              <w:t xml:space="preserve">- </w:t>
            </w:r>
            <w:r w:rsidRPr="003B3C66">
              <w:rPr>
                <w:rFonts w:ascii="Open Sans" w:hAnsi="Open Sans" w:cs="Arial"/>
              </w:rPr>
              <w:t xml:space="preserve">платежи за пользование природными ресурсами – </w:t>
            </w:r>
            <w:r w:rsidRPr="004466A0">
              <w:t>уменьшение</w:t>
            </w:r>
            <w:r w:rsidRPr="003B3C66">
              <w:rPr>
                <w:rFonts w:ascii="Open Sans" w:hAnsi="Open Sans" w:cs="Arial"/>
              </w:rPr>
              <w:t xml:space="preserve"> на 150 </w:t>
            </w:r>
            <w:proofErr w:type="spellStart"/>
            <w:r w:rsidRPr="003B3C66">
              <w:rPr>
                <w:rFonts w:ascii="Open Sans" w:hAnsi="Open Sans" w:cs="Arial"/>
              </w:rPr>
              <w:t>тыс</w:t>
            </w:r>
            <w:proofErr w:type="gramStart"/>
            <w:r w:rsidRPr="003B3C66">
              <w:rPr>
                <w:rFonts w:ascii="Open Sans" w:hAnsi="Open Sans" w:cs="Arial"/>
              </w:rPr>
              <w:t>.р</w:t>
            </w:r>
            <w:proofErr w:type="gramEnd"/>
            <w:r w:rsidRPr="003B3C66">
              <w:rPr>
                <w:rFonts w:ascii="Open Sans" w:hAnsi="Open Sans" w:cs="Arial"/>
              </w:rPr>
              <w:t>уб</w:t>
            </w:r>
            <w:proofErr w:type="spellEnd"/>
            <w:r w:rsidRPr="003B3C66">
              <w:rPr>
                <w:rFonts w:ascii="Open Sans" w:hAnsi="Open Sans" w:cs="Arial"/>
              </w:rPr>
              <w:t>.</w:t>
            </w:r>
            <w:r w:rsidR="006B66BD">
              <w:t xml:space="preserve"> (план составит 410 </w:t>
            </w:r>
            <w:proofErr w:type="spellStart"/>
            <w:r w:rsidR="006B66BD">
              <w:t>тыс.руб</w:t>
            </w:r>
            <w:proofErr w:type="spellEnd"/>
            <w:r w:rsidR="006B66BD">
              <w:t>.)</w:t>
            </w:r>
            <w:r w:rsidR="006B66BD" w:rsidRPr="004466A0">
              <w:t>;</w:t>
            </w:r>
          </w:p>
          <w:p w:rsidR="003B3C66" w:rsidRPr="003B3C66" w:rsidRDefault="003B3C66" w:rsidP="004466A0">
            <w:pPr>
              <w:pStyle w:val="ae"/>
              <w:ind w:left="0" w:firstLine="720"/>
              <w:jc w:val="both"/>
              <w:rPr>
                <w:rFonts w:ascii="Open Sans" w:hAnsi="Open Sans" w:cs="Arial"/>
              </w:rPr>
            </w:pPr>
            <w:r w:rsidRPr="003B3C66">
              <w:rPr>
                <w:rFonts w:ascii="Open Sans" w:hAnsi="Open Sans" w:cs="Arial"/>
              </w:rPr>
              <w:t xml:space="preserve">- доходы от продажи земельных участков, государственная собственность на которые не разграничена – увеличение на 300 </w:t>
            </w:r>
            <w:proofErr w:type="spellStart"/>
            <w:r w:rsidRPr="003B3C66">
              <w:rPr>
                <w:rFonts w:ascii="Open Sans" w:hAnsi="Open Sans" w:cs="Arial"/>
              </w:rPr>
              <w:t>тыс</w:t>
            </w:r>
            <w:proofErr w:type="gramStart"/>
            <w:r w:rsidRPr="003B3C66">
              <w:rPr>
                <w:rFonts w:ascii="Open Sans" w:hAnsi="Open Sans" w:cs="Arial"/>
              </w:rPr>
              <w:t>.р</w:t>
            </w:r>
            <w:proofErr w:type="gramEnd"/>
            <w:r w:rsidRPr="003B3C66">
              <w:rPr>
                <w:rFonts w:ascii="Open Sans" w:hAnsi="Open Sans" w:cs="Arial"/>
              </w:rPr>
              <w:t>уб</w:t>
            </w:r>
            <w:proofErr w:type="spellEnd"/>
            <w:r w:rsidRPr="003B3C66">
              <w:rPr>
                <w:rFonts w:ascii="Open Sans" w:hAnsi="Open Sans" w:cs="Arial"/>
              </w:rPr>
              <w:t>.</w:t>
            </w:r>
            <w:r w:rsidR="006B66BD">
              <w:rPr>
                <w:rFonts w:ascii="Open Sans" w:hAnsi="Open Sans" w:cs="Arial"/>
              </w:rPr>
              <w:t xml:space="preserve"> или на 15% </w:t>
            </w:r>
            <w:r w:rsidR="006B66BD">
              <w:t xml:space="preserve">(план составит 2300 </w:t>
            </w:r>
            <w:proofErr w:type="spellStart"/>
            <w:r w:rsidR="006B66BD">
              <w:t>тыс.руб</w:t>
            </w:r>
            <w:proofErr w:type="spellEnd"/>
            <w:r w:rsidR="006B66BD">
              <w:t>.)</w:t>
            </w:r>
            <w:r w:rsidR="006B66BD" w:rsidRPr="004466A0">
              <w:t xml:space="preserve">; </w:t>
            </w:r>
            <w:r w:rsidR="006B66BD">
              <w:rPr>
                <w:rFonts w:ascii="Open Sans" w:hAnsi="Open Sans" w:cs="Arial"/>
              </w:rPr>
              <w:t xml:space="preserve"> </w:t>
            </w:r>
          </w:p>
          <w:p w:rsidR="003B3C66" w:rsidRDefault="003B3C66" w:rsidP="004466A0">
            <w:pPr>
              <w:pStyle w:val="ae"/>
              <w:ind w:left="0" w:firstLine="720"/>
              <w:jc w:val="both"/>
              <w:rPr>
                <w:rFonts w:ascii="Open Sans" w:hAnsi="Open Sans" w:cs="Arial"/>
              </w:rPr>
            </w:pPr>
            <w:r w:rsidRPr="003B3C66">
              <w:rPr>
                <w:rFonts w:ascii="Open Sans" w:hAnsi="Open Sans" w:cs="Arial"/>
              </w:rPr>
              <w:t xml:space="preserve">- прочие неналоговые доходы – увеличение на 600 </w:t>
            </w:r>
            <w:proofErr w:type="spellStart"/>
            <w:r w:rsidRPr="003B3C66">
              <w:rPr>
                <w:rFonts w:ascii="Open Sans" w:hAnsi="Open Sans" w:cs="Arial"/>
              </w:rPr>
              <w:t>тыс</w:t>
            </w:r>
            <w:proofErr w:type="gramStart"/>
            <w:r w:rsidRPr="003B3C66">
              <w:rPr>
                <w:rFonts w:ascii="Open Sans" w:hAnsi="Open Sans" w:cs="Arial"/>
              </w:rPr>
              <w:t>.р</w:t>
            </w:r>
            <w:proofErr w:type="gramEnd"/>
            <w:r w:rsidRPr="003B3C66">
              <w:rPr>
                <w:rFonts w:ascii="Open Sans" w:hAnsi="Open Sans" w:cs="Arial"/>
              </w:rPr>
              <w:t>уб</w:t>
            </w:r>
            <w:proofErr w:type="spellEnd"/>
            <w:r w:rsidRPr="003B3C66">
              <w:rPr>
                <w:rFonts w:ascii="Open Sans" w:hAnsi="Open Sans" w:cs="Arial"/>
              </w:rPr>
              <w:t>.</w:t>
            </w:r>
            <w:r w:rsidR="006B66BD">
              <w:rPr>
                <w:rFonts w:ascii="Open Sans" w:hAnsi="Open Sans" w:cs="Arial"/>
              </w:rPr>
              <w:t xml:space="preserve"> или на  26% </w:t>
            </w:r>
            <w:r w:rsidR="006B66BD">
              <w:t xml:space="preserve">(план составит 2900 </w:t>
            </w:r>
            <w:proofErr w:type="spellStart"/>
            <w:r w:rsidR="006B66BD">
              <w:t>тыс.руб</w:t>
            </w:r>
            <w:proofErr w:type="spellEnd"/>
            <w:r w:rsidR="006B66BD">
              <w:t>.).</w:t>
            </w:r>
          </w:p>
          <w:p w:rsidR="003B3C66" w:rsidRDefault="003B3C66" w:rsidP="004466A0">
            <w:pPr>
              <w:pStyle w:val="ae"/>
              <w:ind w:left="0" w:firstLine="720"/>
              <w:jc w:val="both"/>
            </w:pPr>
            <w:r w:rsidRPr="003B3C66">
              <w:t>Плановые назначения уточнены главными администраторами доходов бюджета Лесозаводского городского округа на основании динамики поступлений</w:t>
            </w:r>
            <w:r>
              <w:t>.</w:t>
            </w:r>
          </w:p>
          <w:p w:rsidR="0018064E" w:rsidRDefault="0018064E" w:rsidP="00593E2D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593E2D" w:rsidRPr="00637267" w:rsidRDefault="0018064E" w:rsidP="00593E2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gramStart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</w:t>
            </w:r>
            <w:r w:rsidR="00593E2D" w:rsidRPr="00637267">
              <w:rPr>
                <w:rFonts w:ascii="Times New Roman" w:hAnsi="Times New Roman" w:cs="Times New Roman"/>
                <w:sz w:val="24"/>
                <w:szCs w:val="24"/>
              </w:rPr>
              <w:t>палата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, проанализировав уточненные прогнозы  администраторов доходов бюджета, показатели исполнения бюджета по налоговым и неналоговым доходам за 9 месяцев 2019 года,  учитывая </w:t>
            </w:r>
            <w:r w:rsidRPr="0063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72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еревыполнение годовых планов по </w:t>
            </w:r>
            <w:r w:rsidRPr="0063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доходам от продажи земельных участков (исполнение 107,4%) и  прочим неналоговым доходам (исполнение 115,2%), 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считает</w:t>
            </w:r>
            <w:r w:rsidRPr="00637267">
              <w:t xml:space="preserve"> 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</w:t>
            </w:r>
            <w:r w:rsidR="00593E2D" w:rsidRPr="00637267">
              <w:rPr>
                <w:rFonts w:ascii="Times New Roman" w:hAnsi="Times New Roman" w:cs="Times New Roman"/>
                <w:sz w:val="24"/>
                <w:szCs w:val="24"/>
              </w:rPr>
              <w:t>изменения по увеличению доходной части бюджета Лесозаводского городского округа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3E2D" w:rsidRPr="00637267">
              <w:rPr>
                <w:rFonts w:ascii="Times New Roman" w:hAnsi="Times New Roman" w:cs="Times New Roman"/>
                <w:sz w:val="24"/>
                <w:szCs w:val="24"/>
              </w:rPr>
              <w:t>обоснованными.</w:t>
            </w:r>
            <w:proofErr w:type="gramEnd"/>
          </w:p>
          <w:bookmarkEnd w:id="0"/>
          <w:p w:rsidR="003B3C66" w:rsidRDefault="003B3C66" w:rsidP="004466A0">
            <w:pPr>
              <w:pStyle w:val="ae"/>
              <w:ind w:left="0" w:firstLine="720"/>
              <w:jc w:val="both"/>
            </w:pPr>
            <w:r w:rsidRPr="003B3C66">
              <w:lastRenderedPageBreak/>
              <w:t>О</w:t>
            </w:r>
            <w:r w:rsidR="006B66BD">
              <w:t>бщий о</w:t>
            </w:r>
            <w:r w:rsidRPr="003B3C66">
              <w:t xml:space="preserve">бъем </w:t>
            </w:r>
            <w:r w:rsidRPr="003B3C66">
              <w:rPr>
                <w:b/>
              </w:rPr>
              <w:t>безвозмездных поступлений</w:t>
            </w:r>
            <w:r w:rsidRPr="003B3C66">
              <w:t xml:space="preserve"> проектом решения уточняется в сторону у</w:t>
            </w:r>
            <w:r>
              <w:t xml:space="preserve">величения </w:t>
            </w:r>
            <w:r w:rsidRPr="003B3C66">
              <w:t xml:space="preserve"> на </w:t>
            </w:r>
            <w:r>
              <w:t xml:space="preserve">1176,43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  <w:r w:rsidRPr="003B3C66">
              <w:t xml:space="preserve">(на </w:t>
            </w:r>
            <w:r>
              <w:t>0,1</w:t>
            </w:r>
            <w:r w:rsidRPr="003B3C66">
              <w:t>%), в том числе:</w:t>
            </w:r>
          </w:p>
          <w:p w:rsidR="00597199" w:rsidRPr="003B3C66" w:rsidRDefault="00597199" w:rsidP="004466A0">
            <w:pPr>
              <w:pStyle w:val="ae"/>
              <w:ind w:left="0" w:firstLine="720"/>
              <w:jc w:val="both"/>
            </w:pPr>
            <w:r>
              <w:t xml:space="preserve">- дотация на поддержку мер по обеспечению сбалансированности бюджетов в соответствии с проектом постановления администрации Приморского края </w:t>
            </w:r>
            <w:r w:rsidRPr="003B3C66">
              <w:rPr>
                <w:rFonts w:ascii="Open Sans" w:hAnsi="Open Sans" w:cs="Arial"/>
              </w:rPr>
              <w:t xml:space="preserve">– </w:t>
            </w:r>
            <w:r>
              <w:rPr>
                <w:rFonts w:ascii="Open Sans" w:hAnsi="Open Sans" w:cs="Arial"/>
              </w:rPr>
              <w:t xml:space="preserve"> </w:t>
            </w:r>
            <w:r w:rsidRPr="006B66BD">
              <w:t xml:space="preserve">увеличение на </w:t>
            </w:r>
            <w:r>
              <w:t>4882</w:t>
            </w:r>
            <w:r w:rsidRPr="006B66BD">
              <w:t xml:space="preserve"> </w:t>
            </w:r>
            <w:proofErr w:type="spellStart"/>
            <w:r w:rsidRPr="006B66BD">
              <w:t>тыс</w:t>
            </w:r>
            <w:proofErr w:type="gramStart"/>
            <w:r w:rsidRPr="006B66BD">
              <w:t>.р</w:t>
            </w:r>
            <w:proofErr w:type="gramEnd"/>
            <w:r w:rsidRPr="006B66BD">
              <w:t>уб</w:t>
            </w:r>
            <w:proofErr w:type="spellEnd"/>
            <w:r w:rsidRPr="006B66BD">
              <w:t>.</w:t>
            </w:r>
            <w:r>
              <w:t>;</w:t>
            </w:r>
          </w:p>
          <w:p w:rsidR="00F762DD" w:rsidRPr="006B66BD" w:rsidRDefault="006B66BD" w:rsidP="004466A0">
            <w:pPr>
              <w:pStyle w:val="ae"/>
              <w:ind w:left="0" w:firstLine="720"/>
              <w:jc w:val="both"/>
            </w:pPr>
            <w:r w:rsidRPr="006B66BD">
              <w:rPr>
                <w:rFonts w:eastAsia="Calibri"/>
                <w:lang w:eastAsia="en-US"/>
              </w:rPr>
              <w:t>- субсиди</w:t>
            </w:r>
            <w:r w:rsidR="00597199">
              <w:rPr>
                <w:rFonts w:eastAsia="Calibri"/>
                <w:lang w:eastAsia="en-US"/>
              </w:rPr>
              <w:t>я</w:t>
            </w:r>
            <w:r w:rsidRPr="006B66BD">
              <w:rPr>
                <w:rFonts w:eastAsia="Calibri"/>
                <w:lang w:eastAsia="en-US"/>
              </w:rPr>
              <w:t xml:space="preserve"> </w:t>
            </w:r>
            <w:r w:rsidRPr="006B66BD">
              <w:rPr>
                <w:rFonts w:eastAsia="Calibri"/>
                <w:shd w:val="clear" w:color="auto" w:fill="FFFFFF"/>
                <w:lang w:eastAsia="en-US"/>
              </w:rPr>
              <w:t>на проектирование и (или) строительство, реконструкцию, модернизацию и капитальный ремонт объектов водопроводно-канализационного хозяйства</w:t>
            </w:r>
            <w:r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3B3C66">
              <w:rPr>
                <w:rFonts w:ascii="Open Sans" w:hAnsi="Open Sans" w:cs="Arial"/>
              </w:rPr>
              <w:t xml:space="preserve">– </w:t>
            </w:r>
            <w:r w:rsidRPr="006B66BD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  <w:r w:rsidRPr="006B66BD">
              <w:t>уменьшение</w:t>
            </w:r>
            <w:r w:rsidRPr="006B66BD">
              <w:rPr>
                <w:rFonts w:ascii="Open Sans" w:hAnsi="Open Sans" w:cs="Arial"/>
              </w:rPr>
              <w:t xml:space="preserve"> на</w:t>
            </w:r>
            <w:r w:rsidRPr="006B66BD">
              <w:rPr>
                <w:rFonts w:eastAsia="Calibri"/>
                <w:shd w:val="clear" w:color="auto" w:fill="FFFFFF"/>
                <w:lang w:eastAsia="en-US"/>
              </w:rPr>
              <w:t xml:space="preserve">  </w:t>
            </w:r>
            <w:r w:rsidRPr="006B66BD">
              <w:rPr>
                <w:rFonts w:eastAsia="Calibri"/>
                <w:lang w:eastAsia="en-US"/>
              </w:rPr>
              <w:t>3985,57</w:t>
            </w:r>
            <w:r w:rsidR="0059719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B66BD">
              <w:rPr>
                <w:rFonts w:eastAsia="Calibri"/>
                <w:lang w:eastAsia="en-US"/>
              </w:rPr>
              <w:t>тыс</w:t>
            </w:r>
            <w:proofErr w:type="gramStart"/>
            <w:r w:rsidRPr="006B66BD">
              <w:rPr>
                <w:rFonts w:eastAsia="Calibri"/>
                <w:lang w:eastAsia="en-US"/>
              </w:rPr>
              <w:t>.р</w:t>
            </w:r>
            <w:proofErr w:type="gramEnd"/>
            <w:r w:rsidRPr="006B66BD">
              <w:rPr>
                <w:rFonts w:eastAsia="Calibri"/>
                <w:lang w:eastAsia="en-US"/>
              </w:rPr>
              <w:t>уб</w:t>
            </w:r>
            <w:proofErr w:type="spellEnd"/>
            <w:r w:rsidRPr="006B66BD">
              <w:rPr>
                <w:rFonts w:eastAsia="Calibri"/>
                <w:lang w:eastAsia="en-US"/>
              </w:rPr>
              <w:t xml:space="preserve">.; </w:t>
            </w:r>
          </w:p>
          <w:p w:rsidR="00C332AC" w:rsidRDefault="006B66BD" w:rsidP="004466A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6B66BD">
              <w:rPr>
                <w:rFonts w:ascii="Times New Roman" w:eastAsia="Calibri" w:hAnsi="Times New Roman" w:cs="Times New Roman"/>
                <w:sz w:val="24"/>
                <w:szCs w:val="24"/>
              </w:rPr>
              <w:t>убвенции бюджетам городских округов на государственную регистрацию актов гражданского состояния</w:t>
            </w:r>
            <w:r w:rsidRPr="003B3C66">
              <w:rPr>
                <w:rFonts w:ascii="Open Sans" w:hAnsi="Open Sans" w:cs="Arial"/>
              </w:rPr>
              <w:t xml:space="preserve"> – </w:t>
            </w:r>
            <w:r>
              <w:rPr>
                <w:rFonts w:ascii="Open Sans" w:hAnsi="Open Sans" w:cs="Arial"/>
              </w:rPr>
              <w:t xml:space="preserve"> </w:t>
            </w:r>
            <w:r w:rsidRPr="006B66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280 </w:t>
            </w:r>
            <w:proofErr w:type="spellStart"/>
            <w:r w:rsidRPr="006B66B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B6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66B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B6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6BD" w:rsidRPr="004466A0" w:rsidRDefault="006B66BD" w:rsidP="004466A0">
            <w:pPr>
              <w:ind w:firstLine="709"/>
              <w:rPr>
                <w:rFonts w:ascii="Open Sans" w:hAnsi="Open Sans" w:cs="Arial"/>
              </w:rPr>
            </w:pPr>
          </w:p>
          <w:p w:rsidR="00123731" w:rsidRDefault="00123731" w:rsidP="004466A0">
            <w:pPr>
              <w:pStyle w:val="ae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4466A0">
              <w:rPr>
                <w:rFonts w:eastAsiaTheme="minorHAnsi"/>
                <w:b/>
                <w:bCs/>
              </w:rPr>
              <w:t>Анализ изменений, вносимых в расходную часть</w:t>
            </w:r>
            <w:r w:rsidRPr="004466A0">
              <w:rPr>
                <w:b/>
              </w:rPr>
              <w:t xml:space="preserve"> бюджета </w:t>
            </w:r>
          </w:p>
          <w:p w:rsidR="000967A9" w:rsidRPr="004466A0" w:rsidRDefault="000967A9" w:rsidP="000967A9">
            <w:pPr>
              <w:pStyle w:val="ae"/>
              <w:rPr>
                <w:b/>
              </w:rPr>
            </w:pPr>
          </w:p>
          <w:p w:rsidR="00FB7260" w:rsidRPr="004466A0" w:rsidRDefault="00475D86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4466A0">
              <w:t xml:space="preserve">   </w:t>
            </w:r>
            <w:r w:rsidR="00643CE4" w:rsidRPr="004466A0">
              <w:t xml:space="preserve">      </w:t>
            </w:r>
            <w:r w:rsidRPr="004466A0">
              <w:t xml:space="preserve"> </w:t>
            </w:r>
            <w:r w:rsidR="00643CE4" w:rsidRPr="004466A0">
              <w:rPr>
                <w:rFonts w:ascii="Open Sans" w:hAnsi="Open Sans" w:cs="Arial"/>
              </w:rPr>
              <w:t xml:space="preserve">Проектом решения бюджетные ассигнования 2019 года уточняются в сторону увеличения на </w:t>
            </w:r>
            <w:r w:rsidR="000967A9">
              <w:rPr>
                <w:rFonts w:ascii="Open Sans" w:hAnsi="Open Sans" w:cs="Arial"/>
                <w:b/>
              </w:rPr>
              <w:t>3626,43</w:t>
            </w:r>
            <w:r w:rsidR="00DA2D8B" w:rsidRPr="004466A0">
              <w:rPr>
                <w:rFonts w:ascii="Open Sans" w:hAnsi="Open Sans" w:cs="Arial"/>
              </w:rPr>
              <w:t xml:space="preserve"> </w:t>
            </w:r>
            <w:proofErr w:type="spellStart"/>
            <w:r w:rsidR="00643CE4" w:rsidRPr="004466A0">
              <w:rPr>
                <w:rFonts w:ascii="Open Sans" w:hAnsi="Open Sans" w:cs="Arial"/>
              </w:rPr>
              <w:t>тыс</w:t>
            </w:r>
            <w:proofErr w:type="gramStart"/>
            <w:r w:rsidR="00643CE4" w:rsidRPr="004466A0">
              <w:rPr>
                <w:rFonts w:ascii="Open Sans" w:hAnsi="Open Sans" w:cs="Arial"/>
              </w:rPr>
              <w:t>.р</w:t>
            </w:r>
            <w:proofErr w:type="gramEnd"/>
            <w:r w:rsidR="00643CE4" w:rsidRPr="004466A0">
              <w:rPr>
                <w:rFonts w:ascii="Open Sans" w:hAnsi="Open Sans" w:cs="Arial"/>
              </w:rPr>
              <w:t>уб</w:t>
            </w:r>
            <w:proofErr w:type="spellEnd"/>
            <w:r w:rsidR="00643CE4" w:rsidRPr="004466A0">
              <w:rPr>
                <w:rFonts w:ascii="Open Sans" w:hAnsi="Open Sans" w:cs="Arial"/>
              </w:rPr>
              <w:t>. (на 0,</w:t>
            </w:r>
            <w:r w:rsidR="00DA2D8B" w:rsidRPr="004466A0">
              <w:rPr>
                <w:rFonts w:ascii="Open Sans" w:hAnsi="Open Sans" w:cs="Arial"/>
              </w:rPr>
              <w:t>7</w:t>
            </w:r>
            <w:r w:rsidR="00643CE4" w:rsidRPr="004466A0">
              <w:rPr>
                <w:rFonts w:ascii="Open Sans" w:hAnsi="Open Sans" w:cs="Arial"/>
              </w:rPr>
              <w:t>%)</w:t>
            </w:r>
            <w:r w:rsidR="00643CE4" w:rsidRPr="004466A0">
              <w:t xml:space="preserve"> </w:t>
            </w:r>
            <w:r w:rsidR="000967A9" w:rsidRPr="000967A9">
              <w:t>за счет увеличения безвозмездных поступлений от других бюджетов бюджетной системы Российской Федерации и дополнительных поступлений налоговых и неналоговых доходов в бюджет округа.</w:t>
            </w:r>
          </w:p>
          <w:p w:rsidR="00B53CC0" w:rsidRDefault="00FB7260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4466A0">
              <w:t xml:space="preserve">         Кроме того, </w:t>
            </w:r>
            <w:r w:rsidR="005C41CB" w:rsidRPr="004466A0">
              <w:t xml:space="preserve">проектом решения </w:t>
            </w:r>
            <w:r w:rsidRPr="004466A0">
              <w:t xml:space="preserve">расходы </w:t>
            </w:r>
            <w:r w:rsidR="005C41CB">
              <w:t xml:space="preserve">бюджета </w:t>
            </w:r>
            <w:r w:rsidRPr="004466A0">
              <w:t xml:space="preserve">на 2019 год уточнены путем внутреннего перемещения по </w:t>
            </w:r>
            <w:r w:rsidR="005C41CB">
              <w:t xml:space="preserve">разделам, подразделам, </w:t>
            </w:r>
            <w:r w:rsidRPr="004466A0">
              <w:t>целевым статьям и видам расходов классификации расходов бюджетов.</w:t>
            </w:r>
            <w:r w:rsidR="00643CE4" w:rsidRPr="004466A0">
              <w:t xml:space="preserve"> </w:t>
            </w:r>
          </w:p>
          <w:p w:rsidR="001E26BF" w:rsidRPr="005C41CB" w:rsidRDefault="00643CE4" w:rsidP="00CB02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t xml:space="preserve">      </w:t>
            </w:r>
            <w:r w:rsidR="00586697">
              <w:t xml:space="preserve">   </w:t>
            </w:r>
            <w:r w:rsidR="000967A9">
              <w:rPr>
                <w:rFonts w:ascii="Open Sans" w:hAnsi="Open Sans" w:cs="Arial"/>
                <w:color w:val="333333"/>
              </w:rPr>
              <w:t xml:space="preserve"> </w:t>
            </w:r>
            <w:r w:rsidR="00002990"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>Проектом решения расходы главных распорядителей бюджетных средств, в связи с дополнительными поступлениями доходов в бюджет</w:t>
            </w:r>
            <w:r w:rsidR="005C41CB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внутренним перемещением бюджетных ассигнований</w:t>
            </w:r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 xml:space="preserve">, уточняются в сторону увеличения на сумму  3626,4 </w:t>
            </w:r>
            <w:proofErr w:type="spellStart"/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5C41CB" w:rsidRPr="005C41C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1E26BF" w:rsidRPr="001E26BF" w:rsidRDefault="001E26BF" w:rsidP="001E26BF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1E26B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1E26B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1E26B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1E26B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1E26B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tbl>
            <w:tblPr>
              <w:tblStyle w:val="af8"/>
              <w:tblW w:w="9853" w:type="dxa"/>
              <w:tblLayout w:type="fixed"/>
              <w:tblLook w:val="04A0" w:firstRow="1" w:lastRow="0" w:firstColumn="1" w:lastColumn="0" w:noHBand="0" w:noVBand="1"/>
            </w:tblPr>
            <w:tblGrid>
              <w:gridCol w:w="3776"/>
              <w:gridCol w:w="1966"/>
              <w:gridCol w:w="1658"/>
              <w:gridCol w:w="992"/>
              <w:gridCol w:w="1461"/>
            </w:tblGrid>
            <w:tr w:rsidR="001E26BF" w:rsidRPr="00691EBB" w:rsidTr="0018064E">
              <w:tc>
                <w:tcPr>
                  <w:tcW w:w="3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Наименование ГРБС</w:t>
                  </w:r>
                </w:p>
              </w:tc>
              <w:tc>
                <w:tcPr>
                  <w:tcW w:w="1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Lucida Sans Unicode" w:hAnsi="Times New Roman" w:cs="Times New Roman"/>
                      <w:b/>
                      <w:kern w:val="2"/>
                      <w:sz w:val="20"/>
                      <w:szCs w:val="20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6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6BF" w:rsidRPr="00691EBB" w:rsidRDefault="001E26BF" w:rsidP="0018064E">
                  <w:pPr>
                    <w:suppressAutoHyphens/>
                    <w:spacing w:line="276" w:lineRule="auto"/>
                    <w:ind w:hanging="10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Lucida Sans Unicode" w:hAnsi="Times New Roman" w:cs="Times New Roman"/>
                      <w:b/>
                      <w:kern w:val="2"/>
                      <w:sz w:val="20"/>
                      <w:szCs w:val="20"/>
                      <w:lang w:eastAsia="ar-SA"/>
                    </w:rPr>
                    <w:t>Проект решения</w:t>
                  </w:r>
                </w:p>
                <w:p w:rsidR="001E26BF" w:rsidRPr="00691EBB" w:rsidRDefault="001E26BF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Изменения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сумма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Администрация Лесозаводского городского округа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459306,07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456200,5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-3105,6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99,3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МКУ «Управление образования ЛГО»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714141,86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726823,86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A15399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+12682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101,8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МКУ «Управление культуры, молодежной политики и спорта ЛГО»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108278,32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104778,32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A15399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-3500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96,7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25864,0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23864,0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A15399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-2000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92,3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Управление имущественных отношений администрации ЛГО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15061,62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15061,62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Финансовое управление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18797,0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18797,0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5904,0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5354,0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A15399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-550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90,7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2225,0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2325,0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A15399" w:rsidP="00A15399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+100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104,5</w:t>
                  </w:r>
                </w:p>
              </w:tc>
            </w:tr>
            <w:tr w:rsidR="001E26BF" w:rsidRPr="00691EBB" w:rsidTr="0018064E">
              <w:tc>
                <w:tcPr>
                  <w:tcW w:w="3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1349577,9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1353204,3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A15399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3626,4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26BF" w:rsidRPr="00691EBB" w:rsidRDefault="001E26BF" w:rsidP="0018064E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100,3</w:t>
                  </w:r>
                </w:p>
              </w:tc>
            </w:tr>
          </w:tbl>
          <w:p w:rsidR="00385DA7" w:rsidRDefault="00385DA7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</w:p>
          <w:p w:rsidR="00002990" w:rsidRPr="00002990" w:rsidRDefault="00A15399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       </w:t>
            </w:r>
            <w:r w:rsidR="005C41CB">
              <w:t xml:space="preserve"> </w:t>
            </w:r>
            <w:r w:rsidR="005C41CB" w:rsidRPr="001E26BF">
              <w:t xml:space="preserve">Изменение плана </w:t>
            </w:r>
            <w:r w:rsidR="005C41CB">
              <w:t xml:space="preserve">бюджетных назначений на 2019 год </w:t>
            </w:r>
            <w:r w:rsidR="005C41CB" w:rsidRPr="001E26BF">
              <w:t xml:space="preserve">произведено по </w:t>
            </w:r>
            <w:r w:rsidR="005C41CB">
              <w:t>6</w:t>
            </w:r>
            <w:r w:rsidR="005C41CB" w:rsidRPr="001E26BF">
              <w:t xml:space="preserve"> главн</w:t>
            </w:r>
            <w:r w:rsidR="005C41CB">
              <w:t>ым</w:t>
            </w:r>
            <w:r w:rsidR="005C41CB" w:rsidRPr="001E26BF">
              <w:t xml:space="preserve"> распорядител</w:t>
            </w:r>
            <w:r w:rsidR="005C41CB">
              <w:t>ям бюджетных средств,</w:t>
            </w:r>
            <w:r>
              <w:t xml:space="preserve"> </w:t>
            </w:r>
            <w:r w:rsidR="00002990">
              <w:t>в</w:t>
            </w:r>
            <w:r w:rsidR="00002990" w:rsidRPr="00002990">
              <w:t xml:space="preserve"> том числе:</w:t>
            </w:r>
          </w:p>
          <w:p w:rsidR="001E26BF" w:rsidRDefault="00A15399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t xml:space="preserve"> </w:t>
            </w:r>
            <w:r w:rsidR="00002990">
              <w:t xml:space="preserve">       у</w:t>
            </w:r>
            <w:r w:rsidR="008C3E03" w:rsidRPr="008C3E03">
              <w:t>величиваются расходы</w:t>
            </w:r>
            <w:r w:rsidR="00002990">
              <w:t xml:space="preserve"> </w:t>
            </w:r>
            <w:r w:rsidR="005C41CB">
              <w:t>на</w:t>
            </w:r>
            <w:r w:rsidR="008C3E03" w:rsidRPr="008C3E03">
              <w:t xml:space="preserve"> финансово</w:t>
            </w:r>
            <w:r w:rsidR="005C41CB">
              <w:t>е</w:t>
            </w:r>
            <w:r w:rsidR="008C3E03" w:rsidRPr="008C3E03">
              <w:t xml:space="preserve"> обеспечени</w:t>
            </w:r>
            <w:r w:rsidR="005C41CB">
              <w:t>е</w:t>
            </w:r>
            <w:r w:rsidR="008C3E03" w:rsidRPr="008C3E03">
              <w:t xml:space="preserve"> деятельности органов местного самоуправления</w:t>
            </w:r>
            <w:r w:rsidR="00002990">
              <w:t xml:space="preserve"> – </w:t>
            </w:r>
            <w:r w:rsidR="00A52B1A">
              <w:t xml:space="preserve"> </w:t>
            </w:r>
            <w:r w:rsidR="008C3E03" w:rsidRPr="00A15399">
              <w:rPr>
                <w:rFonts w:eastAsia="Calibri"/>
              </w:rPr>
              <w:t xml:space="preserve">Контрольно-счетная палата ЛГО на 100 </w:t>
            </w:r>
            <w:proofErr w:type="spellStart"/>
            <w:r w:rsidR="008C3E03" w:rsidRPr="00A15399">
              <w:rPr>
                <w:rFonts w:eastAsia="Calibri"/>
              </w:rPr>
              <w:t>тыс</w:t>
            </w:r>
            <w:proofErr w:type="gramStart"/>
            <w:r w:rsidR="008C3E03" w:rsidRPr="00A15399">
              <w:rPr>
                <w:rFonts w:eastAsia="Calibri"/>
              </w:rPr>
              <w:t>.р</w:t>
            </w:r>
            <w:proofErr w:type="gramEnd"/>
            <w:r w:rsidR="008C3E03" w:rsidRPr="00A15399">
              <w:rPr>
                <w:rFonts w:eastAsia="Calibri"/>
              </w:rPr>
              <w:t>уб</w:t>
            </w:r>
            <w:proofErr w:type="spellEnd"/>
            <w:r w:rsidR="008C3E03" w:rsidRPr="00A15399">
              <w:rPr>
                <w:rFonts w:eastAsia="Calibri"/>
              </w:rPr>
              <w:t>.</w:t>
            </w:r>
            <w:r w:rsidR="008C3E03">
              <w:t>;</w:t>
            </w:r>
            <w:r w:rsidR="008C3E03" w:rsidRPr="008C3E03">
              <w:t xml:space="preserve"> органов администрации Лесозаводского городского округа</w:t>
            </w:r>
            <w:r w:rsidR="008C3E03">
              <w:t xml:space="preserve"> – </w:t>
            </w:r>
            <w:r w:rsidR="008C3E03" w:rsidRPr="00A15399">
              <w:rPr>
                <w:rFonts w:eastAsia="Calibri"/>
              </w:rPr>
              <w:t>МКУ «Управление образования ЛГО»</w:t>
            </w:r>
            <w:r w:rsidR="008C3E03">
              <w:rPr>
                <w:rFonts w:eastAsia="Calibri"/>
              </w:rPr>
              <w:t xml:space="preserve"> на 12682 </w:t>
            </w:r>
            <w:proofErr w:type="spellStart"/>
            <w:r w:rsidR="008C3E03">
              <w:rPr>
                <w:rFonts w:eastAsia="Calibri"/>
              </w:rPr>
              <w:t>тыс.руб</w:t>
            </w:r>
            <w:proofErr w:type="spellEnd"/>
            <w:r w:rsidR="008C3E03">
              <w:rPr>
                <w:rFonts w:eastAsia="Calibri"/>
              </w:rPr>
              <w:t>.;</w:t>
            </w:r>
            <w:r w:rsidR="008C3E03" w:rsidRPr="00691EBB">
              <w:rPr>
                <w:rFonts w:eastAsia="Calibri"/>
              </w:rPr>
              <w:t xml:space="preserve"> </w:t>
            </w:r>
          </w:p>
          <w:p w:rsidR="00A52B1A" w:rsidRDefault="00A15399" w:rsidP="004466A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t xml:space="preserve">            </w:t>
            </w:r>
            <w:r w:rsidR="00002990">
              <w:t>у</w:t>
            </w:r>
            <w:r w:rsidR="008C3E03" w:rsidRPr="008C3E03">
              <w:t xml:space="preserve">меньшены </w:t>
            </w:r>
            <w:r w:rsidR="005C41CB">
              <w:t xml:space="preserve">бюджетные </w:t>
            </w:r>
            <w:r w:rsidR="008C3E03" w:rsidRPr="008C3E03">
              <w:t>средства</w:t>
            </w:r>
            <w:r w:rsidR="00002990">
              <w:t xml:space="preserve"> </w:t>
            </w:r>
            <w:r w:rsidR="005C41CB">
              <w:t>по ГРБС:</w:t>
            </w:r>
            <w:r w:rsidR="00002990" w:rsidRPr="00691EBB">
              <w:rPr>
                <w:rFonts w:eastAsia="Calibri"/>
                <w:sz w:val="20"/>
                <w:szCs w:val="20"/>
              </w:rPr>
              <w:t xml:space="preserve"> </w:t>
            </w:r>
            <w:r w:rsidR="00002990" w:rsidRPr="00002990">
              <w:rPr>
                <w:rFonts w:eastAsia="Calibri"/>
              </w:rPr>
              <w:t xml:space="preserve">администрация Лесозаводского городского округа на 3105,6 </w:t>
            </w:r>
            <w:proofErr w:type="spellStart"/>
            <w:r w:rsidR="00002990" w:rsidRPr="00002990">
              <w:rPr>
                <w:rFonts w:eastAsia="Calibri"/>
              </w:rPr>
              <w:t>тыс</w:t>
            </w:r>
            <w:proofErr w:type="gramStart"/>
            <w:r w:rsidR="00002990" w:rsidRPr="00002990">
              <w:rPr>
                <w:rFonts w:eastAsia="Calibri"/>
              </w:rPr>
              <w:t>.р</w:t>
            </w:r>
            <w:proofErr w:type="gramEnd"/>
            <w:r w:rsidR="00002990" w:rsidRPr="00002990">
              <w:rPr>
                <w:rFonts w:eastAsia="Calibri"/>
              </w:rPr>
              <w:t>уб</w:t>
            </w:r>
            <w:proofErr w:type="spellEnd"/>
            <w:r w:rsidR="00002990">
              <w:rPr>
                <w:rFonts w:eastAsia="Calibri"/>
                <w:sz w:val="20"/>
                <w:szCs w:val="20"/>
              </w:rPr>
              <w:t>.;</w:t>
            </w:r>
            <w:r w:rsidR="008C3E03" w:rsidRPr="00A52B1A">
              <w:t xml:space="preserve"> </w:t>
            </w:r>
            <w:r w:rsidR="00A52B1A" w:rsidRPr="00A52B1A">
              <w:rPr>
                <w:rFonts w:eastAsia="Calibri"/>
              </w:rPr>
              <w:t xml:space="preserve">МКУ «Управление культуры, молодежной политики и спорта ЛГО» на  </w:t>
            </w:r>
            <w:r w:rsidR="00A52B1A">
              <w:rPr>
                <w:rFonts w:eastAsia="Calibri"/>
              </w:rPr>
              <w:t xml:space="preserve">3500 </w:t>
            </w:r>
            <w:proofErr w:type="spellStart"/>
            <w:r w:rsidR="00A52B1A" w:rsidRPr="00A52B1A">
              <w:rPr>
                <w:rFonts w:eastAsia="Calibri"/>
              </w:rPr>
              <w:t>тыс.руб</w:t>
            </w:r>
            <w:proofErr w:type="spellEnd"/>
            <w:r w:rsidR="00A52B1A" w:rsidRPr="00A52B1A">
              <w:rPr>
                <w:rFonts w:eastAsia="Calibri"/>
              </w:rPr>
              <w:t xml:space="preserve">.; МКУ «Хозяйственное управление администрации ЛГО» на 2000 </w:t>
            </w:r>
            <w:proofErr w:type="spellStart"/>
            <w:r w:rsidR="00A52B1A" w:rsidRPr="00A52B1A">
              <w:rPr>
                <w:rFonts w:eastAsia="Calibri"/>
              </w:rPr>
              <w:t>тыс.руб</w:t>
            </w:r>
            <w:proofErr w:type="spellEnd"/>
            <w:r w:rsidR="00A52B1A" w:rsidRPr="00A52B1A">
              <w:rPr>
                <w:rFonts w:eastAsia="Calibri"/>
              </w:rPr>
              <w:t xml:space="preserve">.; Дума Лесозаводского городского округа на 550 </w:t>
            </w:r>
            <w:proofErr w:type="spellStart"/>
            <w:r w:rsidR="00A52B1A" w:rsidRPr="00A52B1A">
              <w:rPr>
                <w:rFonts w:eastAsia="Calibri"/>
              </w:rPr>
              <w:t>тыс.руб</w:t>
            </w:r>
            <w:proofErr w:type="spellEnd"/>
            <w:r w:rsidR="00A52B1A" w:rsidRPr="00A52B1A">
              <w:rPr>
                <w:rFonts w:eastAsia="Calibri"/>
              </w:rPr>
              <w:t>.</w:t>
            </w:r>
          </w:p>
          <w:p w:rsidR="0097421D" w:rsidRDefault="0097421D" w:rsidP="009742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7421D" w:rsidRPr="004466A0" w:rsidRDefault="0097421D" w:rsidP="009742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66A0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решения </w:t>
            </w:r>
            <w:r w:rsidR="005C41CB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программны</w:t>
            </w:r>
            <w:r w:rsidR="005C41CB">
              <w:rPr>
                <w:rFonts w:ascii="Times New Roman" w:hAnsi="Times New Roman" w:cs="Times New Roman"/>
                <w:sz w:val="24"/>
                <w:szCs w:val="24"/>
              </w:rPr>
              <w:t xml:space="preserve">е и непрограммные расходы: </w:t>
            </w:r>
            <w:r w:rsidR="005C41CB" w:rsidRPr="005C41CB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расходы на муниципальные программы</w:t>
            </w:r>
            <w:r w:rsidR="005C41CB"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увеличиваются на  5474,43 </w:t>
            </w:r>
            <w:proofErr w:type="spellStart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E8B">
              <w:rPr>
                <w:rFonts w:ascii="Times New Roman" w:hAnsi="Times New Roman" w:cs="Times New Roman"/>
                <w:sz w:val="24"/>
                <w:szCs w:val="24"/>
              </w:rPr>
              <w:t xml:space="preserve"> или на 0,5%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уменьшаются на 1848 </w:t>
            </w:r>
            <w:proofErr w:type="spellStart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002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5E8B">
              <w:rPr>
                <w:rFonts w:ascii="Times New Roman" w:hAnsi="Times New Roman" w:cs="Times New Roman"/>
                <w:sz w:val="24"/>
                <w:szCs w:val="24"/>
              </w:rPr>
              <w:t xml:space="preserve"> или на 1,1%</w:t>
            </w:r>
            <w:r w:rsidRPr="0000299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0029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97421D" w:rsidRPr="004466A0" w:rsidRDefault="0097421D" w:rsidP="0097421D">
            <w:pPr>
              <w:ind w:firstLine="4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  <w:tbl>
            <w:tblPr>
              <w:tblStyle w:val="af8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1417"/>
              <w:gridCol w:w="1276"/>
              <w:gridCol w:w="992"/>
              <w:gridCol w:w="851"/>
            </w:tblGrid>
            <w:tr w:rsidR="0097421D" w:rsidRPr="004466A0" w:rsidTr="0018064E">
              <w:trPr>
                <w:trHeight w:val="240"/>
              </w:trPr>
              <w:tc>
                <w:tcPr>
                  <w:tcW w:w="4849" w:type="dxa"/>
                  <w:vMerge w:val="restart"/>
                  <w:tcBorders>
                    <w:right w:val="single" w:sz="4" w:space="0" w:color="auto"/>
                  </w:tcBorders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7" w:type="dxa"/>
                  <w:vMerge w:val="restart"/>
                  <w:tcBorders>
                    <w:right w:val="single" w:sz="4" w:space="0" w:color="auto"/>
                  </w:tcBorders>
                </w:tcPr>
                <w:p w:rsidR="0097421D" w:rsidRPr="004466A0" w:rsidRDefault="0097421D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466A0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97421D" w:rsidRPr="004466A0" w:rsidRDefault="0097421D" w:rsidP="0018064E">
                  <w:pPr>
                    <w:suppressAutoHyphens/>
                    <w:ind w:hanging="10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466A0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97421D" w:rsidRPr="004466A0" w:rsidRDefault="0097421D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97421D" w:rsidRPr="004466A0" w:rsidTr="0018064E">
              <w:trPr>
                <w:trHeight w:val="213"/>
              </w:trPr>
              <w:tc>
                <w:tcPr>
                  <w:tcW w:w="4849" w:type="dxa"/>
                  <w:vMerge/>
                  <w:tcBorders>
                    <w:right w:val="single" w:sz="4" w:space="0" w:color="auto"/>
                  </w:tcBorders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right w:val="single" w:sz="4" w:space="0" w:color="auto"/>
                  </w:tcBorders>
                </w:tcPr>
                <w:p w:rsidR="0097421D" w:rsidRPr="004466A0" w:rsidRDefault="0097421D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97421D" w:rsidRPr="004466A0" w:rsidRDefault="0097421D" w:rsidP="0018064E">
                  <w:pPr>
                    <w:suppressAutoHyphens/>
                    <w:ind w:hanging="109"/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97421D" w:rsidRPr="004466A0" w:rsidRDefault="0097421D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</w:tcPr>
                <w:p w:rsidR="0097421D" w:rsidRPr="004466A0" w:rsidRDefault="0097421D" w:rsidP="001806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466A0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97421D" w:rsidRPr="004466A0" w:rsidTr="0018064E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4466A0" w:rsidRDefault="0097421D" w:rsidP="0018064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</w:pPr>
                  <w:r w:rsidRPr="004466A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bidi="en-US"/>
                    </w:rPr>
                    <w:t xml:space="preserve">РАСХОДЫ -  всего,  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1349577,88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1353204,31</w:t>
                  </w:r>
                </w:p>
              </w:tc>
              <w:tc>
                <w:tcPr>
                  <w:tcW w:w="992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3626,43</w:t>
                  </w:r>
                </w:p>
              </w:tc>
              <w:tc>
                <w:tcPr>
                  <w:tcW w:w="851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100,3</w:t>
                  </w:r>
                </w:p>
              </w:tc>
            </w:tr>
            <w:tr w:rsidR="0097421D" w:rsidRPr="004466A0" w:rsidTr="0018064E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4466A0" w:rsidRDefault="0097421D" w:rsidP="0018064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4466A0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в том числе: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97421D" w:rsidRPr="004466A0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7421D" w:rsidRPr="004466A0" w:rsidTr="0018064E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C06D9B" w:rsidRDefault="0097421D" w:rsidP="0018064E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bidi="en-US"/>
                    </w:rPr>
                  </w:pPr>
                  <w:r w:rsidRPr="00C06D9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bidi="en-US"/>
                    </w:rPr>
                    <w:t>Расходы на муниципальные программы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1182935,8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1188410,23</w:t>
                  </w:r>
                </w:p>
              </w:tc>
              <w:tc>
                <w:tcPr>
                  <w:tcW w:w="992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5474,43</w:t>
                  </w:r>
                </w:p>
              </w:tc>
              <w:tc>
                <w:tcPr>
                  <w:tcW w:w="851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100,5</w:t>
                  </w:r>
                </w:p>
              </w:tc>
            </w:tr>
            <w:tr w:rsidR="0097421D" w:rsidRPr="004466A0" w:rsidTr="0018064E">
              <w:trPr>
                <w:trHeight w:val="35"/>
              </w:trPr>
              <w:tc>
                <w:tcPr>
                  <w:tcW w:w="4849" w:type="dxa"/>
                  <w:tcBorders>
                    <w:right w:val="single" w:sz="4" w:space="0" w:color="auto"/>
                  </w:tcBorders>
                </w:tcPr>
                <w:p w:rsidR="0097421D" w:rsidRPr="00C06D9B" w:rsidRDefault="0097421D" w:rsidP="0018064E">
                  <w:pPr>
                    <w:ind w:right="-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sz w:val="20"/>
                      <w:szCs w:val="20"/>
                      <w:lang w:bidi="en-US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166642,08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164794,08</w:t>
                  </w:r>
                </w:p>
              </w:tc>
              <w:tc>
                <w:tcPr>
                  <w:tcW w:w="992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-1848</w:t>
                  </w:r>
                </w:p>
              </w:tc>
              <w:tc>
                <w:tcPr>
                  <w:tcW w:w="851" w:type="dxa"/>
                  <w:vAlign w:val="center"/>
                </w:tcPr>
                <w:p w:rsidR="0097421D" w:rsidRPr="00C06D9B" w:rsidRDefault="0097421D" w:rsidP="0018064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98,9</w:t>
                  </w:r>
                </w:p>
              </w:tc>
            </w:tr>
          </w:tbl>
          <w:p w:rsidR="00002990" w:rsidRDefault="00002990" w:rsidP="001E2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26BF" w:rsidRPr="00A52B1A" w:rsidRDefault="00AC6203" w:rsidP="001E26BF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A52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 w:rsidRPr="00A52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1E26BF" w:rsidRPr="00A52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2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41CB">
              <w:rPr>
                <w:rFonts w:ascii="Times New Roman" w:eastAsia="Calibri" w:hAnsi="Times New Roman" w:cs="Times New Roman"/>
                <w:sz w:val="24"/>
                <w:szCs w:val="24"/>
              </w:rPr>
              <w:t>Проектом решения и</w:t>
            </w:r>
            <w:r w:rsidR="001E26BF" w:rsidRPr="00A52B1A">
              <w:rPr>
                <w:rFonts w:ascii="Times New Roman" w:eastAsia="Calibri" w:hAnsi="Times New Roman" w:cs="Times New Roman"/>
                <w:sz w:val="24"/>
                <w:szCs w:val="24"/>
              </w:rPr>
              <w:t>зменение плановых бюджетных назначений по расходам произведено по 9 разделам классификации расходов бюджетов</w:t>
            </w:r>
            <w:r w:rsidR="001E26BF" w:rsidRPr="00A52B1A">
              <w:rPr>
                <w:rFonts w:eastAsia="Calibri"/>
              </w:rPr>
              <w:t>:</w:t>
            </w:r>
          </w:p>
          <w:p w:rsidR="0029126F" w:rsidRDefault="00C96F6A" w:rsidP="004466A0">
            <w:pPr>
              <w:autoSpaceDE w:val="0"/>
              <w:autoSpaceDN w:val="0"/>
              <w:adjustRightInd w:val="0"/>
              <w:jc w:val="right"/>
              <w:rPr>
                <w:rFonts w:ascii="TimesNewRomanPSMT" w:eastAsia="Calibri" w:hAnsi="TimesNewRomanPSMT" w:cs="TimesNewRomanPSMT"/>
                <w:sz w:val="28"/>
                <w:szCs w:val="28"/>
              </w:rPr>
            </w:pPr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126F"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9126F"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9126F"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9126F"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9126F"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AC6203" w:rsidRPr="004466A0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tbl>
            <w:tblPr>
              <w:tblW w:w="10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8"/>
              <w:gridCol w:w="3227"/>
              <w:gridCol w:w="1913"/>
              <w:gridCol w:w="1500"/>
              <w:gridCol w:w="1227"/>
              <w:gridCol w:w="921"/>
              <w:gridCol w:w="214"/>
            </w:tblGrid>
            <w:tr w:rsidR="00691EBB" w:rsidRPr="00691EBB" w:rsidTr="00691EBB">
              <w:trPr>
                <w:trHeight w:val="211"/>
                <w:jc w:val="center"/>
              </w:trPr>
              <w:tc>
                <w:tcPr>
                  <w:tcW w:w="119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hanging="80"/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Раздел,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3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Наименование раздела</w:t>
                  </w:r>
                </w:p>
              </w:tc>
              <w:tc>
                <w:tcPr>
                  <w:tcW w:w="1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2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  <w:t>Изменения</w:t>
                  </w:r>
                </w:p>
              </w:tc>
            </w:tr>
            <w:tr w:rsidR="00691EBB" w:rsidRPr="00691EBB" w:rsidTr="00691EBB">
              <w:trPr>
                <w:trHeight w:val="243"/>
                <w:jc w:val="center"/>
              </w:trPr>
              <w:tc>
                <w:tcPr>
                  <w:tcW w:w="119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</w:rPr>
                    <w:t>Сумма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0100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104 710,12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100 784,12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-3 926,0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96,3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0103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Функционирование представительных органов муниципальных образований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5 904,0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5 354,0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-550,0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Функционирование местных администраций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34 676,00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37 176,00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+2 500,0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0106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 деятельности финансовых органов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7 316,00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8 093,0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+777,0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0111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406,27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401,27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-5,0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0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54 476,32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47 828,32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-6 648,0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88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0200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39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0300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14 088,51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13 788,51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-300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97,9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19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0400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41 161,52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41 161,52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18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0500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274 774,85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273 430,28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-1 344,6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99,5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18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0501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185 137,19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186 978,19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+1 841,0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18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35 954,40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31 968,83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-3 985,6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18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53 681,64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54 481,64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+800,0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1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0700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733 633,04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747 815,04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+14 182,0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101,9</w:t>
                  </w: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8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0701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270 247,39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267 747,39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-2 500,0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8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0702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354 797,48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361 579,48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+6 782,0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gridAfter w:val="1"/>
                <w:wAfter w:w="214" w:type="dxa"/>
                <w:trHeight w:val="28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0703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Дополнительное образование детей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71 786,32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78 386,32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+6 600,0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trHeight w:val="28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0709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30 274,8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33 574,8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+3 300,0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trHeight w:val="285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0800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56 499,76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51 999,76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-4 500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92,0</w:t>
                  </w:r>
                </w:p>
              </w:tc>
            </w:tr>
            <w:tr w:rsidR="00691EBB" w:rsidRPr="00691EBB" w:rsidTr="00691EBB">
              <w:trPr>
                <w:trHeight w:val="26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0801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39 937,34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36 437,34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-3500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trHeight w:val="26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0804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Другие вопросы в области культуры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16 562,42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15 562,42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-1000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91EBB" w:rsidRPr="00691EBB" w:rsidTr="00691EBB">
              <w:trPr>
                <w:trHeight w:val="26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81 305,14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81 310,14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+5,0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691EBB" w:rsidRPr="00691EBB" w:rsidTr="00691EBB">
              <w:trPr>
                <w:trHeight w:val="21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28 067,95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27 567,95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-500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98,2</w:t>
                  </w:r>
                </w:p>
              </w:tc>
            </w:tr>
            <w:tr w:rsidR="00691EBB" w:rsidRPr="00691EBB" w:rsidTr="00691EBB">
              <w:trPr>
                <w:trHeight w:val="306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3 011,00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3 461,0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+450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114,9</w:t>
                  </w:r>
                </w:p>
              </w:tc>
            </w:tr>
            <w:tr w:rsidR="00691EBB" w:rsidRPr="00691EBB" w:rsidTr="00691EBB">
              <w:trPr>
                <w:trHeight w:val="384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12 306,00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11 866,0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-440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96,4</w:t>
                  </w:r>
                </w:p>
              </w:tc>
            </w:tr>
            <w:tr w:rsidR="00691EBB" w:rsidRPr="00691EBB" w:rsidTr="00691EBB">
              <w:trPr>
                <w:trHeight w:val="233"/>
                <w:jc w:val="center"/>
              </w:trPr>
              <w:tc>
                <w:tcPr>
                  <w:tcW w:w="1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1EBB" w:rsidRPr="00691EBB" w:rsidRDefault="00691EBB" w:rsidP="00691EBB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</w:rPr>
                    <w:t xml:space="preserve">  </w:t>
                  </w:r>
                  <w:r w:rsidRPr="00691EBB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РАСХОДЫ, всего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1 349 577,88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1 353 204,31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+3 626,43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1EBB" w:rsidRPr="00691EBB" w:rsidRDefault="00691EBB" w:rsidP="00691EB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691EBB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100,3</w:t>
                  </w:r>
                </w:p>
              </w:tc>
            </w:tr>
          </w:tbl>
          <w:p w:rsidR="00691EBB" w:rsidRPr="00691EBB" w:rsidRDefault="00691EBB" w:rsidP="00691EBB">
            <w:pPr>
              <w:ind w:firstLine="7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1EBB" w:rsidRDefault="00CB0278" w:rsidP="00176B1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C06D9B">
              <w:rPr>
                <w:rFonts w:eastAsia="Calibri"/>
              </w:rPr>
              <w:lastRenderedPageBreak/>
              <w:t xml:space="preserve">         </w:t>
            </w:r>
            <w:r w:rsidR="00176B19">
              <w:rPr>
                <w:rFonts w:eastAsia="Calibri"/>
              </w:rPr>
              <w:t>П</w:t>
            </w:r>
            <w:r w:rsidR="00691EBB" w:rsidRPr="00691EBB">
              <w:rPr>
                <w:rFonts w:eastAsia="Calibri"/>
              </w:rPr>
              <w:t>о разделу</w:t>
            </w:r>
            <w:r w:rsidR="00691EBB" w:rsidRPr="00691EBB">
              <w:rPr>
                <w:rFonts w:eastAsia="Calibri"/>
                <w:b/>
              </w:rPr>
              <w:t xml:space="preserve"> 0100 «Общегосударственные вопросы</w:t>
            </w:r>
            <w:r w:rsidR="00691EBB" w:rsidRPr="00E25E8B">
              <w:rPr>
                <w:rFonts w:eastAsia="Calibri"/>
                <w:b/>
              </w:rPr>
              <w:t>»</w:t>
            </w:r>
            <w:r w:rsidR="00691EBB" w:rsidRPr="00691EBB">
              <w:rPr>
                <w:rFonts w:eastAsia="Calibri"/>
              </w:rPr>
              <w:t xml:space="preserve"> </w:t>
            </w:r>
            <w:r w:rsidR="00002990" w:rsidRPr="004466A0">
              <w:rPr>
                <w:rFonts w:eastAsia="Calibri"/>
              </w:rPr>
              <w:t xml:space="preserve">расходы уменьшаются  на </w:t>
            </w:r>
            <w:r w:rsidR="002D7B65">
              <w:rPr>
                <w:rFonts w:eastAsia="Calibri"/>
              </w:rPr>
              <w:t xml:space="preserve">            (-)</w:t>
            </w:r>
            <w:r w:rsidR="00002990">
              <w:rPr>
                <w:b/>
                <w:bCs/>
              </w:rPr>
              <w:t>3926</w:t>
            </w:r>
            <w:r w:rsidR="00002990" w:rsidRPr="004466A0">
              <w:rPr>
                <w:rFonts w:eastAsia="Calibri"/>
                <w:b/>
              </w:rPr>
              <w:t xml:space="preserve"> </w:t>
            </w:r>
            <w:r w:rsidR="00002990" w:rsidRPr="004466A0">
              <w:rPr>
                <w:rFonts w:eastAsia="Calibri"/>
              </w:rPr>
              <w:t>тыс. руб.</w:t>
            </w:r>
            <w:proofErr w:type="gramStart"/>
            <w:r w:rsidR="00002990" w:rsidRPr="004466A0">
              <w:rPr>
                <w:rFonts w:eastAsia="Calibri"/>
              </w:rPr>
              <w:t xml:space="preserve"> </w:t>
            </w:r>
            <w:r w:rsidR="002D7B65">
              <w:rPr>
                <w:rFonts w:eastAsia="Calibri"/>
              </w:rPr>
              <w:t>,</w:t>
            </w:r>
            <w:proofErr w:type="gramEnd"/>
            <w:r w:rsidR="002D7B65">
              <w:rPr>
                <w:rFonts w:eastAsia="Calibri"/>
              </w:rPr>
              <w:t xml:space="preserve"> из них</w:t>
            </w:r>
            <w:r w:rsidR="00002990" w:rsidRPr="004466A0">
              <w:rPr>
                <w:rFonts w:eastAsia="Calibri"/>
              </w:rPr>
              <w:t>:</w:t>
            </w:r>
            <w:r w:rsidR="00002990">
              <w:rPr>
                <w:rFonts w:eastAsia="Calibri"/>
              </w:rPr>
              <w:t xml:space="preserve"> </w:t>
            </w:r>
          </w:p>
          <w:p w:rsidR="00176B19" w:rsidRDefault="00176B19" w:rsidP="00176B1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t xml:space="preserve">         </w:t>
            </w:r>
            <w:r w:rsidRPr="00E25E8B">
              <w:rPr>
                <w:u w:val="single"/>
              </w:rPr>
              <w:t>непрограммные направления деятельности</w:t>
            </w:r>
            <w:r w:rsidRPr="00CB0278">
              <w:t xml:space="preserve"> у</w:t>
            </w:r>
            <w:r w:rsidR="002D7B65">
              <w:t xml:space="preserve">меньшены на (-)4603 </w:t>
            </w:r>
            <w:proofErr w:type="spellStart"/>
            <w:r w:rsidR="002D7B65">
              <w:t>тыс</w:t>
            </w:r>
            <w:proofErr w:type="gramStart"/>
            <w:r w:rsidR="002D7B65">
              <w:t>.р</w:t>
            </w:r>
            <w:proofErr w:type="gramEnd"/>
            <w:r w:rsidR="002D7B65">
              <w:t>уб</w:t>
            </w:r>
            <w:proofErr w:type="spellEnd"/>
            <w:r w:rsidR="002D7B65">
              <w:t>., в том числе</w:t>
            </w:r>
            <w:r w:rsidRPr="00CB0278">
              <w:t>:</w:t>
            </w:r>
          </w:p>
          <w:p w:rsidR="00691EBB" w:rsidRP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E25E8B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550 тыс. руб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сокращены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расходы Думы ЛГО (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расход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труда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депутатов);</w:t>
            </w:r>
          </w:p>
          <w:p w:rsidR="00691EBB" w:rsidRP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</w:t>
            </w:r>
            <w:r w:rsidR="00E25E8B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2500 тыс. руб. 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ЛГО 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(увеличен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 на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на 2526 тыс. руб., уменьшен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на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уплат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26 тыс. руб.),</w:t>
            </w:r>
          </w:p>
          <w:p w:rsidR="00691EBB" w:rsidRPr="00691EBB" w:rsidRDefault="00CB0278" w:rsidP="00CB02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оплату труда </w:t>
            </w: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ЛГО</w:t>
            </w:r>
            <w:r>
              <w:rPr>
                <w:rFonts w:eastAsia="Calibri"/>
                <w:sz w:val="24"/>
                <w:szCs w:val="24"/>
              </w:rPr>
              <w:t>;</w:t>
            </w:r>
            <w:r w:rsidRPr="008C3E03">
              <w:rPr>
                <w:rFonts w:ascii="Times New Roman" w:hAnsi="Times New Roman" w:cs="Times New Roman"/>
              </w:rPr>
              <w:t xml:space="preserve">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B0278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4928 тыс. руб.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уменьшен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расход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исполнение судебных актов администрации</w:t>
            </w:r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(4691 </w:t>
            </w:r>
            <w:proofErr w:type="spellStart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финансового управления</w:t>
            </w:r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(237 </w:t>
            </w:r>
            <w:proofErr w:type="spellStart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B0278" w:rsidRDefault="0099307F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уменьшен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 расходы на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</w:t>
            </w:r>
            <w:r w:rsidR="00CB0278" w:rsidRPr="00CB0278">
              <w:rPr>
                <w:rFonts w:ascii="Times New Roman" w:eastAsia="Calibri" w:hAnsi="Times New Roman" w:cs="Times New Roman"/>
                <w:sz w:val="24"/>
                <w:szCs w:val="24"/>
              </w:rPr>
              <w:t>«Хозяйственное управление администрации ЛГО»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280 </w:t>
            </w:r>
            <w:proofErr w:type="spellStart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9930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CB027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CB0278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актов гражданского состояния </w:t>
            </w:r>
            <w:r w:rsidR="00176B1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за счет увеличения субвенции);</w:t>
            </w:r>
          </w:p>
          <w:p w:rsidR="0097421D" w:rsidRDefault="0097421D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Резервного фонда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распределены расходы на выплаты гражданам;</w:t>
            </w:r>
          </w:p>
          <w:p w:rsidR="00176B19" w:rsidRPr="00176B19" w:rsidRDefault="00176B19" w:rsidP="002D7B65">
            <w:pPr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 w:rsidRPr="00176B1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D7B65">
              <w:rPr>
                <w:rFonts w:ascii="Times New Roman" w:hAnsi="Times New Roman" w:cs="Times New Roman"/>
                <w:sz w:val="24"/>
                <w:szCs w:val="24"/>
              </w:rPr>
              <w:t xml:space="preserve">величены </w:t>
            </w:r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 </w:t>
            </w:r>
            <w:r w:rsidR="002D7B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+</w:t>
            </w:r>
            <w:r w:rsidR="009930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677 </w:t>
            </w:r>
            <w:proofErr w:type="spellStart"/>
            <w:r w:rsidR="009930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тыс</w:t>
            </w:r>
            <w:proofErr w:type="gramStart"/>
            <w:r w:rsidR="009930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</w:t>
            </w:r>
            <w:proofErr w:type="gramEnd"/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уб</w:t>
            </w:r>
            <w:proofErr w:type="spellEnd"/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</w:t>
            </w:r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МП "Экономическое развитие Лесозаводского городского округа" </w:t>
            </w:r>
            <w:r w:rsidR="0099307F" w:rsidRPr="0099307F">
              <w:rPr>
                <w:rFonts w:ascii="Times New Roman" w:eastAsia="Calibri" w:hAnsi="Times New Roman" w:cs="Times New Roman"/>
                <w:sz w:val="24"/>
                <w:szCs w:val="24"/>
              </w:rPr>
              <w:t>на оплату труда</w:t>
            </w:r>
            <w:r w:rsidR="0099307F">
              <w:rPr>
                <w:rFonts w:eastAsia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</w:t>
            </w:r>
            <w:r w:rsidRPr="00176B1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инансового управления</w:t>
            </w:r>
            <w:r w:rsidR="009742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176B19" w:rsidRPr="00691EBB" w:rsidRDefault="00176B19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0300 «Национальная безопасность и правоохранительная деятельность</w:t>
            </w:r>
            <w:r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05F56" w:rsidRPr="00176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F56"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сокращаются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D7B65" w:rsidRPr="002D7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(-)</w:t>
            </w:r>
            <w:r w:rsidR="00A05F56" w:rsidRPr="002D7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пожарной безопасности </w:t>
            </w:r>
            <w:r w:rsidR="00825FFE">
              <w:rPr>
                <w:rFonts w:ascii="Times New Roman" w:eastAsia="Calibri" w:hAnsi="Times New Roman" w:cs="Times New Roman"/>
                <w:sz w:val="24"/>
                <w:szCs w:val="24"/>
              </w:rPr>
              <w:t>по подпрограмме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25FFE" w:rsidRPr="00825F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"Обеспечение пожарной безопасности на территории Лесозаводского городского округа"</w:t>
            </w:r>
            <w:r w:rsidR="00825FFE" w:rsidRPr="00825FF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МП «Защита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округа»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550B" w:rsidRPr="00691EBB" w:rsidRDefault="004F550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0500 «Жилищно-коммунальное хозяйство»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51B5"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 w:rsidR="00D251B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сокращаются на </w:t>
            </w:r>
            <w:r w:rsidR="002D7B65" w:rsidRPr="002D7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(-)</w:t>
            </w:r>
            <w:r w:rsidRPr="002D7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1344,6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691EBB" w:rsidRP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1841 тыс. руб. увеличиваются расходы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подразделу 0501 «Ж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илищно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о»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7F1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подпрограммы «О переселении граждан из аварийного жилищного фонда ЛГО»</w:t>
            </w:r>
            <w:r w:rsidR="004B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4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оплат</w:t>
            </w:r>
            <w:r w:rsidR="007A4CE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кредиторской задолженности </w:t>
            </w:r>
            <w:r w:rsidR="004B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(основного долга) </w:t>
            </w:r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ООО «Группа компаний «</w:t>
            </w:r>
            <w:proofErr w:type="spellStart"/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ТриО</w:t>
            </w:r>
            <w:proofErr w:type="spellEnd"/>
            <w:r w:rsidR="00A05F56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 исполнительны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4B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Арбитражного суда Приморского края  от 29.07.2019 на сумму 1062065,17 руб. (в том числе 757048,1 руб. - основной долг, 305017,07 руб. - санкции), от 07.08.2019 на сумму 1363243,38</w:t>
            </w:r>
            <w:proofErr w:type="gramEnd"/>
            <w:r w:rsidR="004B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(в том числе 1083463,38 руб. - основной долг, 303705 руб. – проценты)</w:t>
            </w:r>
            <w:r w:rsidR="00A05F5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1EBB" w:rsidRP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337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A21337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3985,6 тыс. руб. уменьшаются расходы </w:t>
            </w:r>
            <w:r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подразделу 0502 «К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оммунально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о»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сокращения субсидии из краевого бюджета на проектирование, строительство, капремонт объектов водопроводно-канализационного хозяйства в рамках подпрограммы «Обеспечение населения Лесозаводского городского округа чистой питьевой водой»</w:t>
            </w:r>
            <w:r w:rsidR="00E25E8B">
              <w:rPr>
                <w:rFonts w:ascii="Times New Roman" w:eastAsia="Calibri" w:hAnsi="Times New Roman" w:cs="Times New Roman"/>
                <w:sz w:val="24"/>
                <w:szCs w:val="24"/>
              </w:rPr>
              <w:t>, что обусловлено экономией (снижением цены) по проведенным аукционам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21337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A21337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800 тыс. руб. увеличиваются расходы </w:t>
            </w:r>
            <w:r w:rsidR="00A21337"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подразделу 0503 «Благоустройство»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доступными и качественными услугами жилищно-коммунального комплекса населения Лесозаводского городского округа» 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(подпрограмма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"Развитие наружного освещения Лес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озаводского городского округа"</w:t>
            </w:r>
            <w:r w:rsidR="00734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уличного освещения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 тыс. руб., 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  <w:r w:rsidR="00A21337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"Благоустройство Лесозаводского городского округа "</w:t>
            </w:r>
            <w:r w:rsidR="00A21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25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21337" w:rsidRPr="0028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2532">
              <w:rPr>
                <w:rFonts w:ascii="Times New Roman" w:eastAsia="Calibri" w:hAnsi="Times New Roman" w:cs="Times New Roman"/>
                <w:sz w:val="24"/>
                <w:szCs w:val="24"/>
              </w:rPr>
              <w:t>500 тыс. руб.</w:t>
            </w:r>
            <w:r w:rsidR="00A21337" w:rsidRPr="00282532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A21337" w:rsidRPr="00691EBB" w:rsidRDefault="00A21337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0700 «Образование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D7B65" w:rsidRPr="00D92ADD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2D7B65" w:rsidRPr="00D92A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92ADD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увеличиваются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14182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МП</w:t>
            </w:r>
            <w:r w:rsidR="002D7B65" w:rsidRPr="002D7B6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D7B65" w:rsidRPr="002D7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"Развитие образования Лесозаводского городского округа"</w:t>
            </w:r>
            <w:r w:rsidRPr="002D7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D92ADD" w:rsidRPr="00691EBB" w:rsidRDefault="00D92ADD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увеличиваются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D92ADD">
              <w:rPr>
                <w:rFonts w:ascii="Times New Roman" w:eastAsia="Calibri" w:hAnsi="Times New Roman" w:cs="Times New Roman"/>
                <w:sz w:val="24"/>
                <w:szCs w:val="24"/>
              </w:rPr>
              <w:t>10882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МП</w:t>
            </w:r>
            <w:r w:rsidRPr="002D7B6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D7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"Развитие образования Лесозаводского городского округа"</w:t>
            </w:r>
            <w:r w:rsidRPr="002D7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D7B65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2D7B65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2500 тыс. руб</w:t>
            </w:r>
            <w:r w:rsidR="002D7B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7B65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уменьшаются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расходы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подразделу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0701 «Дошкольное образование»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дошкольных образовательных учреждений</w:t>
            </w:r>
            <w:r w:rsidR="00237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379E7" w:rsidRPr="00637267" w:rsidRDefault="002379E7" w:rsidP="002379E7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обращает внимание</w:t>
            </w:r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расходы на финансовое обеспечение дошкольных образовательных учреждений уменьшаются на 2500 </w:t>
            </w:r>
            <w:proofErr w:type="spellStart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37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 отсутствии обоснований. </w:t>
            </w:r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письма ГРБС Управление образования от 15.11.2019 для завершения финансового года  не предусмотрено сокращение расходов на</w:t>
            </w:r>
            <w:r w:rsidRPr="0063726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6372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дошкольных образовательных учреждений на 2500 </w:t>
            </w:r>
            <w:proofErr w:type="spellStart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 к проекту решения также не имеет пояснений о причинах сокращения  бюджетных ассигнований.</w:t>
            </w:r>
          </w:p>
          <w:p w:rsidR="00691EBB" w:rsidRP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на +6782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увеличиваются по 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0702 «Общее образование»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, из них: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увеличиваются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+8883,2 тыс. руб.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оплату труда общеобразовательных учреждений; сокращаются 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(-)</w:t>
            </w:r>
            <w:r w:rsidR="006A567E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2101,1 тыс. руб.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</w:t>
            </w:r>
            <w:r w:rsidR="006A567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567E" w:rsidRPr="006A5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материально-технической базы </w:t>
            </w:r>
            <w:r w:rsidRPr="006A567E">
              <w:rPr>
                <w:rFonts w:ascii="Times New Roman" w:eastAsia="Calibri" w:hAnsi="Times New Roman" w:cs="Times New Roman"/>
                <w:sz w:val="24"/>
                <w:szCs w:val="24"/>
              </w:rPr>
              <w:t>и обеспечение безопасности</w:t>
            </w:r>
            <w:r w:rsidR="006A567E" w:rsidRPr="006A56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муниципальных учреждений</w:t>
            </w:r>
            <w:r w:rsidR="006A567E" w:rsidRPr="006A567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1EBB" w:rsidRP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92ADD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>+6600</w:t>
            </w:r>
            <w:r w:rsidR="00D92ADD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</w:t>
            </w:r>
            <w:r w:rsidR="00D92ADD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увеличиваются 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7A4CE0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A4CE0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0703 «Дополнительное образование детей»</w:t>
            </w:r>
            <w:proofErr w:type="gramStart"/>
            <w:r w:rsidR="007A4CE0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них: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обеспечение деятельности 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бюджетных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учреждений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(Радость, ДЮСШ, ЦДТ)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– на 5100 тыс. руб.</w:t>
            </w:r>
            <w:r w:rsidR="00236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оплату труда, коммунальные расходы)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МОБУ ДО ДШИ- на 1500 тыс. руб.</w:t>
            </w:r>
            <w:r w:rsidR="00236A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 оплату труда, оплата задолженности по страховым взносам, коммунальные расходы)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91EBB" w:rsidRDefault="00D92ADD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непрограммные направления деятельности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увеличиваются на 3300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EBB" w:rsidRP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деятельности МКУ «Управление образования», из них: на оплату труда – </w:t>
            </w:r>
            <w:r w:rsidR="00691EBB" w:rsidRPr="00D92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2815,8 тыс. руб., </w:t>
            </w:r>
            <w:r w:rsidR="00236AA6">
              <w:rPr>
                <w:rFonts w:ascii="Times New Roman" w:eastAsia="Calibri" w:hAnsi="Times New Roman" w:cs="Times New Roman"/>
                <w:sz w:val="24"/>
                <w:szCs w:val="24"/>
              </w:rPr>
              <w:t>на закупки – на 484,2 тыс. руб.</w:t>
            </w:r>
          </w:p>
          <w:p w:rsidR="00D92ADD" w:rsidRPr="00691EBB" w:rsidRDefault="00D92ADD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0800 «Культура, кинематография»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уменьшаются расходы на сумму </w:t>
            </w:r>
            <w:r w:rsidR="00D92ADD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Pr="00D92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4500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руб., в том числе:</w:t>
            </w:r>
          </w:p>
          <w:p w:rsidR="00691EBB" w:rsidRPr="00691EBB" w:rsidRDefault="00705D31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сокращаются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9C7DA5"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0801 «Культура» на обеспечение деятельности учреждений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их них: на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3100 тыс. руб.,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безопасности –110 тыс. руб., на проведение мероприятий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290 тыс. руб., </w:t>
            </w:r>
            <w:proofErr w:type="gramEnd"/>
          </w:p>
          <w:p w:rsidR="00691EBB" w:rsidRDefault="00705D31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A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непрограммные направления деятельности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уменьшаются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1000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на обеспечение деятельности МКУ «Управление культуры»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из них: на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уменьшение на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1315 тыс. руб.,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 увеличение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691EBB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315 тыс. руб.</w:t>
            </w:r>
          </w:p>
          <w:p w:rsidR="00705D31" w:rsidRPr="00691EBB" w:rsidRDefault="00705D31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разделу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1000 «Социальная политика»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увеличиваются на </w:t>
            </w:r>
            <w:r w:rsidR="00705D31" w:rsidRPr="0028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+5</w:t>
            </w:r>
            <w:r w:rsidR="00705D31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D31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705D31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05D31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705D31" w:rsidRPr="00D92A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непрограммные направления деятельности</w:t>
            </w:r>
            <w:r w:rsidR="00705D31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за счет Р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езервного фонда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выплат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материальной помощи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гражданам, пострадавшим в связи с подтоплением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05D31" w:rsidRPr="00691EBB" w:rsidRDefault="00705D31" w:rsidP="00691EBB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1100 «Физическая культура и спорт»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5D31" w:rsidRPr="00E25E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программные расходы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уменьшаются на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(-)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  <w:r w:rsidR="00705D31">
              <w:rPr>
                <w:rFonts w:ascii="Times New Roman" w:eastAsia="Calibri" w:hAnsi="Times New Roman" w:cs="Times New Roman"/>
                <w:sz w:val="24"/>
                <w:szCs w:val="24"/>
              </w:rPr>
              <w:t>по МП</w:t>
            </w:r>
            <w:r w:rsidR="00705D31" w:rsidRPr="00705D31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05D31" w:rsidRPr="00705D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"Развитие физической культуры и спорта на территории Лесозаводского городского округа"</w:t>
            </w:r>
            <w:r w:rsidR="004014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705D31" w:rsidRPr="00705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14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экономия по услугам теплоснабжения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Спортивного цен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>тра.</w:t>
            </w:r>
          </w:p>
          <w:p w:rsidR="000734C2" w:rsidRPr="00691EBB" w:rsidRDefault="000734C2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1200 «Средства массовой информации»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 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0734C2" w:rsidRPr="00D92A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непрограммные направления деятельности</w:t>
            </w:r>
            <w:r w:rsidR="000734C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увеличиваютс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на </w:t>
            </w:r>
            <w:r w:rsidR="000734C2" w:rsidRPr="0028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+450 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руб., из них: </w:t>
            </w:r>
            <w:r w:rsidR="00282532">
              <w:rPr>
                <w:rFonts w:ascii="Times New Roman" w:eastAsia="Calibri" w:hAnsi="Times New Roman" w:cs="Times New Roman"/>
                <w:sz w:val="24"/>
                <w:szCs w:val="24"/>
              </w:rPr>
              <w:t>341,1 тыс. руб. -</w:t>
            </w:r>
            <w:r w:rsidR="0028253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субсидии 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ЛТВ</w:t>
            </w:r>
            <w:r w:rsidR="000734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8253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108,9 тыс. руб.</w:t>
            </w:r>
            <w:r w:rsidR="0028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</w:t>
            </w:r>
            <w:r w:rsidR="000734C2" w:rsidRPr="000734C2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34C2" w:rsidRPr="000734C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деятельности органов местного самоуправления в средствах массовой информации</w:t>
            </w:r>
            <w:r w:rsidR="0028253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7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34C2" w:rsidRPr="00691EBB" w:rsidRDefault="000734C2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EBB" w:rsidRPr="00691EBB" w:rsidRDefault="00691EBB" w:rsidP="00691EB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разделу </w:t>
            </w:r>
            <w:r w:rsidRPr="0069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1300 «Обслуживание государственного и муниципального долга»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расходы</w:t>
            </w:r>
            <w:r w:rsidR="0028253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2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282532" w:rsidRPr="00D92A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непрограммные направления деятельности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253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уменьшаются на </w:t>
            </w:r>
            <w:r w:rsidR="00282532" w:rsidRPr="002825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(-)440</w:t>
            </w:r>
            <w:r w:rsidR="0028253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сокращения суммы муниципального долга и снижения процентной ставки</w:t>
            </w:r>
            <w:r w:rsidR="002825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C05E4" w:rsidRDefault="0051334A" w:rsidP="00EC05E4">
            <w:pPr>
              <w:ind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:rsidR="00B17149" w:rsidRPr="00C06D9B" w:rsidRDefault="00B17149" w:rsidP="00B17149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D9B" w:rsidRPr="00B171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часть бюджета корректируется на основании внесения изменений в действующие муниципальные программы Лесозаводского городского округа на сумму 5474,43 </w:t>
            </w:r>
            <w:proofErr w:type="spellStart"/>
            <w:r w:rsidR="00C06D9B" w:rsidRPr="00B1714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C06D9B" w:rsidRPr="00B1714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06D9B" w:rsidRPr="00B1714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C06D9B" w:rsidRPr="00B17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D9B" w:rsidRPr="00C06D9B">
              <w:t xml:space="preserve"> </w:t>
            </w:r>
            <w:r w:rsidRPr="00C544B6">
              <w:rPr>
                <w:rFonts w:ascii="Times New Roman" w:eastAsia="Calibri" w:hAnsi="Times New Roman" w:cs="Times New Roman"/>
                <w:sz w:val="24"/>
                <w:szCs w:val="24"/>
              </w:rPr>
              <w:t>Проекты изменений в указанные муниципальные программы в Контрольно-счетную палату на экспертизу не представлялись.</w:t>
            </w:r>
            <w:r w:rsidRPr="00C06D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D9B" w:rsidRDefault="00B17149" w:rsidP="00C06D9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        Проектом решения и</w:t>
            </w:r>
            <w:r w:rsidR="00586697" w:rsidRPr="00C06D9B">
              <w:t xml:space="preserve">зменения внесены в финансирование </w:t>
            </w:r>
            <w:r w:rsidR="00C06D9B" w:rsidRPr="00C06D9B">
              <w:t xml:space="preserve">7 </w:t>
            </w:r>
            <w:r w:rsidR="00586697" w:rsidRPr="00C06D9B">
              <w:t>муниципальных программ</w:t>
            </w:r>
            <w:r w:rsidR="00282532">
              <w:t>:</w:t>
            </w:r>
            <w:r w:rsidR="00070C25" w:rsidRPr="004466A0">
              <w:rPr>
                <w:b/>
              </w:rPr>
              <w:t xml:space="preserve">  </w:t>
            </w:r>
          </w:p>
          <w:p w:rsidR="00C06D9B" w:rsidRPr="00C06D9B" w:rsidRDefault="00070C25" w:rsidP="00C06D9B">
            <w:pPr>
              <w:pStyle w:val="a9"/>
              <w:shd w:val="clear" w:color="auto" w:fill="FFFFFF"/>
              <w:spacing w:before="0" w:beforeAutospacing="0" w:after="0" w:afterAutospacing="0"/>
              <w:jc w:val="right"/>
              <w:rPr>
                <w:bCs/>
                <w:i/>
                <w:color w:val="000000"/>
              </w:rPr>
            </w:pPr>
            <w:r w:rsidRPr="004466A0">
              <w:rPr>
                <w:b/>
              </w:rPr>
              <w:t xml:space="preserve">       </w:t>
            </w:r>
            <w:r w:rsidR="00C06D9B" w:rsidRPr="00C06D9B">
              <w:rPr>
                <w:rFonts w:ascii="TimesNewRomanPSMT" w:eastAsia="Calibri" w:hAnsi="TimesNewRomanPSMT" w:cs="TimesNewRomanPSMT" w:hint="eastAsia"/>
                <w:sz w:val="28"/>
                <w:szCs w:val="28"/>
              </w:rPr>
              <w:t xml:space="preserve">   </w:t>
            </w:r>
            <w:r w:rsidR="00C06D9B" w:rsidRPr="00C06D9B">
              <w:t xml:space="preserve">                                                                                                                           (</w:t>
            </w:r>
            <w:proofErr w:type="spellStart"/>
            <w:r w:rsidR="00C06D9B" w:rsidRPr="00C06D9B">
              <w:t>тыс</w:t>
            </w:r>
            <w:proofErr w:type="gramStart"/>
            <w:r w:rsidR="00C06D9B" w:rsidRPr="00C06D9B">
              <w:t>.р</w:t>
            </w:r>
            <w:proofErr w:type="gramEnd"/>
            <w:r w:rsidR="00C06D9B" w:rsidRPr="00C06D9B">
              <w:t>уб</w:t>
            </w:r>
            <w:proofErr w:type="spellEnd"/>
            <w:r w:rsidR="00C06D9B" w:rsidRPr="00C06D9B">
              <w:t>.)</w:t>
            </w:r>
          </w:p>
          <w:tbl>
            <w:tblPr>
              <w:tblW w:w="9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5"/>
              <w:gridCol w:w="1419"/>
              <w:gridCol w:w="1356"/>
              <w:gridCol w:w="1277"/>
            </w:tblGrid>
            <w:tr w:rsidR="00C06D9B" w:rsidRPr="00C06D9B" w:rsidTr="00C06D9B">
              <w:trPr>
                <w:trHeight w:val="64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Утверждено</w:t>
                  </w:r>
                </w:p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на 2019 год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C06D9B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C06D9B">
                  <w:pPr>
                    <w:tabs>
                      <w:tab w:val="left" w:pos="677"/>
                      <w:tab w:val="left" w:pos="1593"/>
                    </w:tabs>
                    <w:spacing w:line="276" w:lineRule="auto"/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  <w:p w:rsidR="00C06D9B" w:rsidRPr="00C06D9B" w:rsidRDefault="00C06D9B" w:rsidP="00C06D9B">
                  <w:pPr>
                    <w:tabs>
                      <w:tab w:val="left" w:pos="677"/>
                      <w:tab w:val="left" w:pos="1593"/>
                    </w:tabs>
                    <w:spacing w:line="276" w:lineRule="auto"/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Изменения</w:t>
                  </w:r>
                </w:p>
                <w:p w:rsidR="00C06D9B" w:rsidRPr="00C06D9B" w:rsidRDefault="00C06D9B" w:rsidP="00C06D9B">
                  <w:pPr>
                    <w:tabs>
                      <w:tab w:val="left" w:pos="1593"/>
                    </w:tabs>
                    <w:spacing w:line="276" w:lineRule="auto"/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"Развитие образования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685 011,56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694 393,56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+9 382,0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</w:t>
                  </w:r>
                  <w:proofErr w:type="spellStart"/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Энергоэффективность</w:t>
                  </w:r>
                  <w:proofErr w:type="spellEnd"/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, развитие системы газоснабжения в Лесозаводском городском округе»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1 200,0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43 637,31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40 451,74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-3 185,57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"Сохранение и развитие культуры  на территории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75 702,96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73 702,96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-2 0000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222 948,07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224 789,07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+1 841,0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14 088,51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13 788,51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-300,0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"Модернизация дорожной сети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38 619,28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38 619,28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"Развитие физической культуры и спорта на территории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28 067,95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27 567,95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-500,0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"Обращение с твёрдыми бытовыми и промышленными отходами в Лесозаводском городском округе"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450,00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"Экономическое развитие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32 457,00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32 694,00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+237,0</w:t>
                  </w:r>
                </w:p>
              </w:tc>
            </w:tr>
            <w:tr w:rsidR="00C06D9B" w:rsidRPr="00C06D9B" w:rsidTr="00C06D9B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«Развитие муниципальной службы в администрации Лесозаводского городского округа»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4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191,00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4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"Формирование современной городской среды на территории Лесозаводского городского округа"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40 012,15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40 012,15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C06D9B" w:rsidRPr="00C06D9B" w:rsidTr="00C06D9B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Всего по  муниципальным программам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1 182 935,80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1 188 410,23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+5 474,43</w:t>
                  </w:r>
                </w:p>
              </w:tc>
            </w:tr>
            <w:tr w:rsidR="00C06D9B" w:rsidRPr="00C06D9B" w:rsidTr="00C06D9B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166 642,08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164 794,08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-1 848,0</w:t>
                  </w:r>
                </w:p>
              </w:tc>
            </w:tr>
            <w:tr w:rsidR="00C06D9B" w:rsidRPr="00C06D9B" w:rsidTr="00C06D9B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6D9B" w:rsidRPr="00C06D9B" w:rsidRDefault="00C06D9B" w:rsidP="008F062E">
                  <w:pPr>
                    <w:keepNext/>
                    <w:keepLines/>
                    <w:spacing w:line="276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1 349 577,88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1 353 204,31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6D9B" w:rsidRPr="00C06D9B" w:rsidRDefault="00C06D9B" w:rsidP="008F062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C06D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+3626,43</w:t>
                  </w:r>
                </w:p>
              </w:tc>
            </w:tr>
          </w:tbl>
          <w:p w:rsidR="00C06D9B" w:rsidRPr="00C06D9B" w:rsidRDefault="00C06D9B" w:rsidP="00C06D9B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C06D9B" w:rsidRPr="00C06D9B" w:rsidRDefault="00282532" w:rsidP="004C7E7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C06D9B" w:rsidRPr="00C06D9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Увеличиваются расходы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 муниципальным программам:</w:t>
            </w:r>
          </w:p>
          <w:p w:rsidR="00D929C2" w:rsidRDefault="00C544B6" w:rsidP="00D929C2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</w:t>
            </w:r>
            <w:r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 9382,0 тыс. руб.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МП "Развитие образования Лесозаводского городского округа" –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 оплату труда, начисления на оплату труда, коммунальные услуги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общеобразовательных учреждений и учреждений дополнительного образования</w:t>
            </w:r>
            <w:r w:rsidR="00D929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="00D929C2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6D9B" w:rsidRPr="00C06D9B" w:rsidRDefault="00C544B6" w:rsidP="00C06D9B">
            <w:pPr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– на 1841,0 тыс. руб.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МП "Обеспечение доступным жильем отдельных категорий граждан и развитие жилищного строительства на территории Лесозаводского городского округа" на оплату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кредиторской задолженности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исполнительно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му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у;</w:t>
            </w:r>
          </w:p>
          <w:p w:rsidR="00C06D9B" w:rsidRPr="00C06D9B" w:rsidRDefault="00C544B6" w:rsidP="00C06D9B">
            <w:pPr>
              <w:ind w:firstLine="709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– на 237 тыс. руб.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 </w:t>
            </w:r>
            <w:r w:rsidR="00C06D9B"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МП "Экономическое развитие Лесозаводского городского округа" на оплату труда и начисления на оплату труда 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C06D9B" w:rsidRPr="00C06D9B" w:rsidRDefault="00C06D9B" w:rsidP="00C06D9B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Сокращаются расходы</w:t>
            </w:r>
            <w:r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муниципальным программам:</w:t>
            </w:r>
          </w:p>
          <w:p w:rsidR="00C06D9B" w:rsidRPr="00C06D9B" w:rsidRDefault="00C544B6" w:rsidP="00C06D9B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3185,57 тыс.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C06D9B"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"Обеспечение доступными и качественными услугами жилищно-коммунального комплекса населения Лесозаводского городского округа" за счет сокращения целевых средств (3985,6 тыс. руб.) и увеличения расходов по мероприятиям наружного освещения и благоустройству (800 тыс. руб.),</w:t>
            </w:r>
          </w:p>
          <w:p w:rsidR="00C06D9B" w:rsidRDefault="00C544B6" w:rsidP="00C06D9B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2 000,0 тыс.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C06D9B"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"Сохранение и развитие культуры  на территории Лесозаводского городского округа" за счет уменьшения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на </w:t>
            </w:r>
            <w:r w:rsidR="00C06D9B"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06D9B"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учреждений культуры (3500 тыс. руб.) и увеличения финансирования по учреждению дополнительного образования – ДШИ (1500 тыс. руб.),</w:t>
            </w:r>
          </w:p>
          <w:p w:rsidR="00571D51" w:rsidRDefault="00571D51" w:rsidP="00571D51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– на 500 тыс. руб.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по </w:t>
            </w:r>
            <w:r w:rsidRPr="00C06D9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МП "Развитие физической культуры и спорта на территории Лесозаводского городского округа"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уменьшение расходов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на обеспечение деятельности Спортивного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тра.</w:t>
            </w:r>
          </w:p>
          <w:p w:rsidR="00C06D9B" w:rsidRDefault="00C544B6" w:rsidP="00C06D9B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300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C06D9B" w:rsidRPr="00C0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</w:t>
            </w:r>
            <w:r w:rsidR="00571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79BB" w:rsidRPr="00637267" w:rsidRDefault="003B79BB" w:rsidP="003B79BB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 к проекту решения не имеет пояснений о причинах предлагаемых изменений по сокращению бюджетных ассигнований</w:t>
            </w:r>
            <w:r w:rsidR="00637267"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1D51" w:rsidRDefault="00571D51" w:rsidP="00571D5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обращает внимание, </w:t>
            </w:r>
            <w:r w:rsidR="006C619C" w:rsidRPr="00637267">
              <w:rPr>
                <w:rFonts w:ascii="Times New Roman" w:hAnsi="Times New Roman" w:cs="Times New Roman"/>
                <w:sz w:val="24"/>
                <w:szCs w:val="24"/>
              </w:rPr>
              <w:t>что п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роектом бюджета предусмотрено сокращение расходов</w:t>
            </w:r>
            <w:r w:rsidR="00EC05E4" w:rsidRPr="0063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обеспечение пожарной безопасности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на 300 </w:t>
            </w:r>
            <w:proofErr w:type="spellStart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. Вместе с тем, </w:t>
            </w:r>
            <w:r w:rsidR="00031440" w:rsidRPr="0063726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бюджетных назначений по подпрограмме</w:t>
            </w:r>
            <w:r w:rsidRPr="00637267">
              <w:rPr>
                <w:b/>
                <w:sz w:val="27"/>
                <w:szCs w:val="27"/>
              </w:rPr>
              <w:t xml:space="preserve"> </w:t>
            </w:r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целесообразно</w:t>
            </w:r>
            <w:r w:rsidR="00031440"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большем объеме,</w:t>
            </w:r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440"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минимум, </w:t>
            </w:r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в сумме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619C" w:rsidRPr="00FC4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C619C" w:rsidRPr="00FC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о указанной подпрограмме 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>сложилось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низкое исполнение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за 10 месяцев 2019 года 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в сумме 319,2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. при плане 1454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. или 22%, что обусловлено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незаключением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до 01.1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.2019 муниципальных контрактов. Администрацией не заключены контракты на выполнение работ по установке противопожарного резервуара в с. Тихменево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 на сумму 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337,9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., в с. Донское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(337,9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.),  в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льмовка</w:t>
            </w:r>
            <w:proofErr w:type="spellEnd"/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(337,9 </w:t>
            </w:r>
            <w:proofErr w:type="spellStart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6C619C" w:rsidRPr="00825FFE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отсутствием заявок на участие в аукционах от 07.08.2019.</w:t>
            </w:r>
            <w:r w:rsidR="006C619C" w:rsidRPr="0012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619C" w:rsidRPr="009C1AE4">
              <w:rPr>
                <w:rFonts w:ascii="Times New Roman" w:hAnsi="Times New Roman" w:cs="Times New Roman"/>
                <w:sz w:val="24"/>
                <w:szCs w:val="24"/>
              </w:rPr>
              <w:t xml:space="preserve">Иные извещения о проведении закупок не размещались, </w:t>
            </w:r>
            <w:r w:rsidR="006C619C" w:rsidRPr="00120BBA">
              <w:rPr>
                <w:rFonts w:ascii="Times New Roman" w:hAnsi="Times New Roman" w:cs="Times New Roman"/>
                <w:sz w:val="24"/>
                <w:szCs w:val="24"/>
              </w:rPr>
              <w:t>что свидетельствует о риске не освоения бюджетных ассигнований на реализацию мероприяти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C619C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6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6C619C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</w:t>
            </w:r>
            <w:r w:rsidR="006C619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C619C"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пожарной безопасности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в сумме 11</w:t>
            </w:r>
            <w:r w:rsidR="000314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C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1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6C619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C619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6C619C" w:rsidRPr="00166FFC">
              <w:rPr>
                <w:rFonts w:ascii="Times New Roman" w:hAnsi="Times New Roman" w:cs="Times New Roman"/>
                <w:sz w:val="24"/>
                <w:szCs w:val="24"/>
              </w:rPr>
              <w:t>. (1453,96-319,2).</w:t>
            </w:r>
          </w:p>
          <w:p w:rsidR="006C619C" w:rsidRPr="00DC2F10" w:rsidRDefault="006C619C" w:rsidP="00571D51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E7B" w:rsidRPr="00691EBB" w:rsidRDefault="004C7E7B" w:rsidP="004C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П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роектом решения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оизводится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перераспределение бюджетных ассигнований за счет средств местного бюджета между целевыми статьями и видами расходов в пределах общего объема утвержденного финансирования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C7E7B" w:rsidRPr="00691EBB" w:rsidRDefault="004C7E7B" w:rsidP="004C7E7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 «Модернизация дорожной сети ЛГО» средства местного бюджета в сумме 221,1 тыс. руб. с мероприятий по текущему содержанию дорог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направлены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 по повышению уровня безопасности дорожного движения – 209,8 тыс. руб.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ПСД, паспортизаци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 дорог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11,2 тыс. руб. (подраздел 0409 «Дорожное хозяйство»),</w:t>
            </w:r>
          </w:p>
          <w:p w:rsidR="004C7E7B" w:rsidRPr="00691EBB" w:rsidRDefault="004C7E7B" w:rsidP="004C7E7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- МП «</w:t>
            </w:r>
            <w:proofErr w:type="spellStart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, развитие системы газоснабжения в Лесозаводском городском округе»</w:t>
            </w:r>
            <w:r w:rsidRPr="00691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ассигнования в размере 104,4 тыс. руб. перераспределяются с мероприятий по капитальному ремонту тепловых сетей на мероприятия по ремонту зданий котельных и дымовых труб, </w:t>
            </w:r>
          </w:p>
          <w:p w:rsidR="004C7E7B" w:rsidRDefault="004C7E7B" w:rsidP="004C7E7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МП «Обеспечение доступными и качественными услугами жилищно-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коммунального комплекса населения Лесозаводского городского округа" бюджетные ассигнования в размере 408,7 тыс. руб. перераспределены с мероприятий децентрализованного водоснабжения (376,5 тыс. руб.) и централизованного водоснабжения (32,1 тыс. руб.) на мероприятия по ремонту, строительству канализационной сети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(увеличение плановых назначений с 827,55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 1236,23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или на 49,4%)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33CE1" w:rsidRPr="00637267" w:rsidRDefault="00433CE1" w:rsidP="00433CE1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Пояснительная записка, представленная одновременно с проектом решения,             констатирует </w:t>
            </w:r>
            <w:r w:rsidRPr="00637267">
              <w:rPr>
                <w:rFonts w:ascii="Times New Roman" w:hAnsi="Times New Roman"/>
                <w:bCs/>
                <w:sz w:val="24"/>
                <w:szCs w:val="24"/>
              </w:rPr>
              <w:t>факты предлагаемых изменений и</w:t>
            </w:r>
            <w:r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имеет пояснений о причинах предлагаемых изменений по сокращению (перемещению)  бюджетных ассигнований</w:t>
            </w:r>
            <w:r w:rsidR="00637267"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B727D" w:rsidRPr="00120BBA" w:rsidRDefault="00CB727D" w:rsidP="00CB72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Контрольно-счетная палата обращает внимание, что проектом решения предусмотрено сокращение расходов по </w:t>
            </w:r>
            <w:r w:rsidRPr="0063726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мероприятию «</w:t>
            </w:r>
            <w:r w:rsidRPr="006372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ремонт объектов децентрализованного водоснабжения»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на 376,5 </w:t>
            </w:r>
            <w:proofErr w:type="spellStart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7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>Вместе с тем, уточнение плановых бюджетных назначений путем уменьшения расходов</w:t>
            </w:r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целесообразно на сумму 1298</w:t>
            </w:r>
            <w:r w:rsidRPr="0063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6372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C4B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а 10 месяцев 2019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69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1F1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51F1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ремонт децентрализованного водоснабжения»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сложилось нулевое 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 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при плане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F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25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 xml:space="preserve"> что обусловлено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тем, что а</w:t>
            </w:r>
            <w:r w:rsidRPr="00825FFE">
              <w:rPr>
                <w:rFonts w:ascii="Times New Roman" w:hAnsi="Times New Roman" w:cs="Times New Roman"/>
                <w:sz w:val="24"/>
                <w:szCs w:val="24"/>
              </w:rPr>
              <w:t>дминистрацией не заключены контракты</w:t>
            </w:r>
            <w:r w:rsidRPr="00551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51F1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ремонту, устройству децентрализованных источников водоснабжения на территории Лесозаводского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1F16">
              <w:rPr>
                <w:rFonts w:ascii="Times New Roman" w:hAnsi="Times New Roman" w:cs="Times New Roman"/>
                <w:sz w:val="24"/>
                <w:szCs w:val="24"/>
              </w:rPr>
              <w:t xml:space="preserve">на сумму 687,9 </w:t>
            </w:r>
            <w:proofErr w:type="spellStart"/>
            <w:r w:rsidRPr="00551F1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51F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1F1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551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1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заявок на участие в аукционах от 04.10.2019 и 08.11.2019.</w:t>
            </w:r>
            <w:r w:rsidRPr="0012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1AE4">
              <w:rPr>
                <w:rFonts w:ascii="Times New Roman" w:hAnsi="Times New Roman" w:cs="Times New Roman"/>
                <w:sz w:val="24"/>
                <w:szCs w:val="24"/>
              </w:rPr>
              <w:t xml:space="preserve">Иные извещения о проведении закупок не размещались, </w:t>
            </w:r>
            <w:r w:rsidRPr="00120BBA">
              <w:rPr>
                <w:rFonts w:ascii="Times New Roman" w:hAnsi="Times New Roman" w:cs="Times New Roman"/>
                <w:sz w:val="24"/>
                <w:szCs w:val="24"/>
              </w:rPr>
              <w:t>что свидетельствует о риске не освоения бюджетных ассигнований на реализацию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20BB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полном объеме 1298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27D" w:rsidRDefault="00CB727D" w:rsidP="004C7E7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0CFC" w:rsidRPr="004466A0" w:rsidRDefault="00CB727D" w:rsidP="00CB727D">
            <w:pPr>
              <w:ind w:firstLine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081620"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  <w:p w:rsidR="005F0CFC" w:rsidRPr="004466A0" w:rsidRDefault="005F0CFC" w:rsidP="004466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Выводы и предложения:</w:t>
            </w:r>
          </w:p>
          <w:p w:rsidR="005F0CFC" w:rsidRPr="004466A0" w:rsidRDefault="005F0CFC" w:rsidP="004466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CFC" w:rsidRPr="004466A0" w:rsidRDefault="005F0CFC" w:rsidP="004466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При рассмотрении проекта решения Контрольно-счетная палата Лесозаводского городского округа рекомендует Думе Лесозаводского городского округа предложить администрации Лесозаводского городского округа:</w:t>
            </w:r>
          </w:p>
          <w:p w:rsidR="00CB727D" w:rsidRPr="003B79BB" w:rsidRDefault="00902DE8" w:rsidP="00CA4C8C">
            <w:pPr>
              <w:tabs>
                <w:tab w:val="left" w:pos="1168"/>
              </w:tabs>
              <w:ind w:firstLine="70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02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79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Сократить  плановые бюджетные назначения, предусмотренные на мероприятия</w:t>
            </w:r>
            <w:r w:rsidR="003B79BB" w:rsidRPr="003B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обеспечение пожарной безопасности</w:t>
            </w:r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 xml:space="preserve"> в сумме 1100 </w:t>
            </w:r>
            <w:proofErr w:type="spellStart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. (раздел 0300)</w:t>
            </w:r>
            <w:r w:rsidR="003B79BB" w:rsidRPr="003B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на </w:t>
            </w:r>
            <w:r w:rsidR="003B79BB" w:rsidRPr="003B79B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ремонт объектов децентрализованного водоснабжения</w:t>
            </w:r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 xml:space="preserve"> в сумме 1298 </w:t>
            </w:r>
            <w:proofErr w:type="spellStart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79BB" w:rsidRPr="003B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79BB" w:rsidRPr="003B79BB">
              <w:rPr>
                <w:rFonts w:ascii="Times New Roman" w:hAnsi="Times New Roman" w:cs="Times New Roman"/>
                <w:sz w:val="24"/>
                <w:szCs w:val="24"/>
              </w:rPr>
              <w:t>(подраздел 0502)</w:t>
            </w:r>
            <w:r w:rsidR="003B79BB" w:rsidRPr="003B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79BB" w:rsidRPr="003B79B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="003B79BB" w:rsidRPr="003B79BB">
              <w:rPr>
                <w:rFonts w:ascii="Times New Roman" w:hAnsi="Times New Roman" w:cs="Times New Roman"/>
                <w:bCs/>
                <w:sz w:val="24"/>
                <w:szCs w:val="24"/>
              </w:rPr>
              <w:t>связи с отсутствием заключенных муниципальных контрактов.</w:t>
            </w:r>
          </w:p>
          <w:p w:rsidR="00B17149" w:rsidRPr="003B79BB" w:rsidRDefault="00902DE8" w:rsidP="00902DE8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b/>
              </w:rPr>
            </w:pPr>
            <w:r w:rsidRPr="003B79BB">
              <w:t xml:space="preserve">2.  </w:t>
            </w:r>
            <w:r w:rsidR="003B79BB" w:rsidRPr="003B79BB">
              <w:t xml:space="preserve">Увеличить бюджетные ассигнования на </w:t>
            </w:r>
            <w:r w:rsidR="003B79BB" w:rsidRPr="003B79BB">
              <w:rPr>
                <w:rFonts w:eastAsia="Calibri"/>
                <w:bCs/>
                <w:color w:val="000000"/>
                <w:lang w:eastAsia="en-US"/>
              </w:rPr>
              <w:t>обеспечение деятельности дошкольных учреждений</w:t>
            </w:r>
            <w:r w:rsidR="00CA4C8C" w:rsidRPr="003B79BB">
              <w:t xml:space="preserve"> </w:t>
            </w:r>
            <w:r w:rsidR="00303347">
              <w:t>на</w:t>
            </w:r>
            <w:r w:rsidR="00303347" w:rsidRPr="003B79BB">
              <w:t xml:space="preserve"> сумм</w:t>
            </w:r>
            <w:r w:rsidR="00303347">
              <w:t>у</w:t>
            </w:r>
            <w:r w:rsidR="00303347" w:rsidRPr="003B79BB">
              <w:t xml:space="preserve"> 2398 </w:t>
            </w:r>
            <w:proofErr w:type="spellStart"/>
            <w:r w:rsidR="00303347" w:rsidRPr="003B79BB">
              <w:t>тыс</w:t>
            </w:r>
            <w:proofErr w:type="gramStart"/>
            <w:r w:rsidR="00303347" w:rsidRPr="003B79BB">
              <w:t>.р</w:t>
            </w:r>
            <w:proofErr w:type="gramEnd"/>
            <w:r w:rsidR="00303347" w:rsidRPr="003B79BB">
              <w:t>уб</w:t>
            </w:r>
            <w:proofErr w:type="spellEnd"/>
            <w:r w:rsidR="00303347" w:rsidRPr="003B79BB">
              <w:t xml:space="preserve">. </w:t>
            </w:r>
            <w:r w:rsidR="00CA4C8C">
              <w:t>(</w:t>
            </w:r>
            <w:r w:rsidR="00CA4C8C" w:rsidRPr="003B79BB">
              <w:t>подраздел 0701</w:t>
            </w:r>
            <w:r w:rsidR="00CA4C8C">
              <w:t>).</w:t>
            </w:r>
          </w:p>
          <w:p w:rsidR="00732192" w:rsidRPr="004466A0" w:rsidRDefault="00DD5034" w:rsidP="00902DE8">
            <w:pPr>
              <w:autoSpaceDE w:val="0"/>
              <w:autoSpaceDN w:val="0"/>
              <w:adjustRightInd w:val="0"/>
              <w:ind w:left="34" w:firstLine="709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D836D0" w:rsidRPr="004466A0" w:rsidRDefault="00D836D0" w:rsidP="004466A0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4466A0" w:rsidRDefault="00655EE9" w:rsidP="004466A0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Pr="004466A0" w:rsidRDefault="00655EE9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Лесозаводского городского округа                                                   </w:t>
            </w:r>
            <w:proofErr w:type="spellStart"/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44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Pr="004466A0" w:rsidRDefault="000255B7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Pr="004466A0" w:rsidRDefault="000255B7" w:rsidP="004466A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4466A0" w:rsidRDefault="00655EE9" w:rsidP="004C7E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F47B50" w:rsidRPr="00655EE9" w:rsidTr="00D836D0">
        <w:trPr>
          <w:trHeight w:val="346"/>
        </w:trPr>
        <w:tc>
          <w:tcPr>
            <w:tcW w:w="95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EA7D68"/>
    <w:sectPr w:rsidR="00FB2680" w:rsidSect="000773F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42" w:rsidRDefault="00874442" w:rsidP="000773F3">
      <w:r>
        <w:separator/>
      </w:r>
    </w:p>
  </w:endnote>
  <w:endnote w:type="continuationSeparator" w:id="0">
    <w:p w:rsidR="00874442" w:rsidRDefault="00874442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42" w:rsidRDefault="00874442" w:rsidP="000773F3">
      <w:r>
        <w:separator/>
      </w:r>
    </w:p>
  </w:footnote>
  <w:footnote w:type="continuationSeparator" w:id="0">
    <w:p w:rsidR="00874442" w:rsidRDefault="00874442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2379E7" w:rsidRDefault="002379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67">
          <w:rPr>
            <w:noProof/>
          </w:rPr>
          <w:t>2</w:t>
        </w:r>
        <w:r>
          <w:fldChar w:fldCharType="end"/>
        </w:r>
      </w:p>
    </w:sdtContent>
  </w:sdt>
  <w:p w:rsidR="002379E7" w:rsidRDefault="002379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7F3CA6C0"/>
    <w:lvl w:ilvl="0" w:tplc="8F40F2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7D743C5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A764F0A"/>
    <w:multiLevelType w:val="hybridMultilevel"/>
    <w:tmpl w:val="CBE474FE"/>
    <w:lvl w:ilvl="0" w:tplc="9B86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9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6"/>
  </w:num>
  <w:num w:numId="5">
    <w:abstractNumId w:val="29"/>
  </w:num>
  <w:num w:numId="6">
    <w:abstractNumId w:val="32"/>
  </w:num>
  <w:num w:numId="7">
    <w:abstractNumId w:val="17"/>
  </w:num>
  <w:num w:numId="8">
    <w:abstractNumId w:val="8"/>
  </w:num>
  <w:num w:numId="9">
    <w:abstractNumId w:val="39"/>
  </w:num>
  <w:num w:numId="10">
    <w:abstractNumId w:val="23"/>
  </w:num>
  <w:num w:numId="11">
    <w:abstractNumId w:val="40"/>
  </w:num>
  <w:num w:numId="12">
    <w:abstractNumId w:val="34"/>
  </w:num>
  <w:num w:numId="13">
    <w:abstractNumId w:val="37"/>
  </w:num>
  <w:num w:numId="14">
    <w:abstractNumId w:val="0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27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9"/>
  </w:num>
  <w:num w:numId="25">
    <w:abstractNumId w:val="24"/>
  </w:num>
  <w:num w:numId="26">
    <w:abstractNumId w:val="14"/>
  </w:num>
  <w:num w:numId="27">
    <w:abstractNumId w:val="1"/>
  </w:num>
  <w:num w:numId="28">
    <w:abstractNumId w:val="2"/>
  </w:num>
  <w:num w:numId="29">
    <w:abstractNumId w:val="28"/>
  </w:num>
  <w:num w:numId="30">
    <w:abstractNumId w:val="9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2"/>
  </w:num>
  <w:num w:numId="34">
    <w:abstractNumId w:val="6"/>
  </w:num>
  <w:num w:numId="35">
    <w:abstractNumId w:val="38"/>
  </w:num>
  <w:num w:numId="36">
    <w:abstractNumId w:val="11"/>
  </w:num>
  <w:num w:numId="37">
    <w:abstractNumId w:val="10"/>
  </w:num>
  <w:num w:numId="38">
    <w:abstractNumId w:val="30"/>
  </w:num>
  <w:num w:numId="39">
    <w:abstractNumId w:val="36"/>
  </w:num>
  <w:num w:numId="40">
    <w:abstractNumId w:val="2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02990"/>
    <w:rsid w:val="00004766"/>
    <w:rsid w:val="000214D4"/>
    <w:rsid w:val="000255B7"/>
    <w:rsid w:val="00031403"/>
    <w:rsid w:val="00031440"/>
    <w:rsid w:val="000336B3"/>
    <w:rsid w:val="000411F4"/>
    <w:rsid w:val="0004521E"/>
    <w:rsid w:val="00055D3E"/>
    <w:rsid w:val="00062C4F"/>
    <w:rsid w:val="00070C25"/>
    <w:rsid w:val="000734C2"/>
    <w:rsid w:val="000773F3"/>
    <w:rsid w:val="00080E93"/>
    <w:rsid w:val="00081620"/>
    <w:rsid w:val="000967A9"/>
    <w:rsid w:val="00097558"/>
    <w:rsid w:val="000A6833"/>
    <w:rsid w:val="000B7F63"/>
    <w:rsid w:val="000C04E4"/>
    <w:rsid w:val="000C25C8"/>
    <w:rsid w:val="000C2863"/>
    <w:rsid w:val="000C5EB7"/>
    <w:rsid w:val="000D1280"/>
    <w:rsid w:val="000D2343"/>
    <w:rsid w:val="000D789D"/>
    <w:rsid w:val="000E407D"/>
    <w:rsid w:val="000F7884"/>
    <w:rsid w:val="000F7A93"/>
    <w:rsid w:val="0010659F"/>
    <w:rsid w:val="0010703D"/>
    <w:rsid w:val="00110C5E"/>
    <w:rsid w:val="00120BBA"/>
    <w:rsid w:val="00120D28"/>
    <w:rsid w:val="00123731"/>
    <w:rsid w:val="00127DE1"/>
    <w:rsid w:val="0013255B"/>
    <w:rsid w:val="0013593D"/>
    <w:rsid w:val="0015317C"/>
    <w:rsid w:val="00161FD2"/>
    <w:rsid w:val="00166FFC"/>
    <w:rsid w:val="00176B19"/>
    <w:rsid w:val="0018064E"/>
    <w:rsid w:val="00194F19"/>
    <w:rsid w:val="001B41C9"/>
    <w:rsid w:val="001C3F88"/>
    <w:rsid w:val="001D4664"/>
    <w:rsid w:val="001E1588"/>
    <w:rsid w:val="001E26BF"/>
    <w:rsid w:val="001F3519"/>
    <w:rsid w:val="00200ACA"/>
    <w:rsid w:val="00210D55"/>
    <w:rsid w:val="002129E3"/>
    <w:rsid w:val="00216D52"/>
    <w:rsid w:val="00217A3B"/>
    <w:rsid w:val="00221AAF"/>
    <w:rsid w:val="00226A17"/>
    <w:rsid w:val="002362A1"/>
    <w:rsid w:val="00236AA6"/>
    <w:rsid w:val="002379E7"/>
    <w:rsid w:val="00252539"/>
    <w:rsid w:val="00253146"/>
    <w:rsid w:val="00257154"/>
    <w:rsid w:val="00257787"/>
    <w:rsid w:val="00260135"/>
    <w:rsid w:val="0026702D"/>
    <w:rsid w:val="0026732A"/>
    <w:rsid w:val="002716FB"/>
    <w:rsid w:val="0027199A"/>
    <w:rsid w:val="00277E60"/>
    <w:rsid w:val="00282532"/>
    <w:rsid w:val="0029126F"/>
    <w:rsid w:val="0029243A"/>
    <w:rsid w:val="00297FED"/>
    <w:rsid w:val="002A1546"/>
    <w:rsid w:val="002A1D97"/>
    <w:rsid w:val="002A4C9A"/>
    <w:rsid w:val="002B1F6D"/>
    <w:rsid w:val="002B2211"/>
    <w:rsid w:val="002B225E"/>
    <w:rsid w:val="002B79FD"/>
    <w:rsid w:val="002B7EA0"/>
    <w:rsid w:val="002C1CC7"/>
    <w:rsid w:val="002D1D45"/>
    <w:rsid w:val="002D4E25"/>
    <w:rsid w:val="002D7B65"/>
    <w:rsid w:val="002E0BC7"/>
    <w:rsid w:val="002F0F7C"/>
    <w:rsid w:val="002F2323"/>
    <w:rsid w:val="00303347"/>
    <w:rsid w:val="00305A50"/>
    <w:rsid w:val="00306786"/>
    <w:rsid w:val="00307E9E"/>
    <w:rsid w:val="00321001"/>
    <w:rsid w:val="00321333"/>
    <w:rsid w:val="003466F0"/>
    <w:rsid w:val="0035482B"/>
    <w:rsid w:val="003720CD"/>
    <w:rsid w:val="00373FD6"/>
    <w:rsid w:val="0037409F"/>
    <w:rsid w:val="00380DAA"/>
    <w:rsid w:val="00382B33"/>
    <w:rsid w:val="00383595"/>
    <w:rsid w:val="00383C27"/>
    <w:rsid w:val="00384787"/>
    <w:rsid w:val="00385DA7"/>
    <w:rsid w:val="00396E70"/>
    <w:rsid w:val="003A6A71"/>
    <w:rsid w:val="003A7E98"/>
    <w:rsid w:val="003B3C66"/>
    <w:rsid w:val="003B7618"/>
    <w:rsid w:val="003B79BB"/>
    <w:rsid w:val="003C3E8D"/>
    <w:rsid w:val="003C4D9E"/>
    <w:rsid w:val="003C704E"/>
    <w:rsid w:val="003D398E"/>
    <w:rsid w:val="003E3029"/>
    <w:rsid w:val="003E7F02"/>
    <w:rsid w:val="003F07EB"/>
    <w:rsid w:val="003F41AE"/>
    <w:rsid w:val="00401441"/>
    <w:rsid w:val="00406D06"/>
    <w:rsid w:val="004151A4"/>
    <w:rsid w:val="0042183D"/>
    <w:rsid w:val="00423405"/>
    <w:rsid w:val="00423BA4"/>
    <w:rsid w:val="00433CE1"/>
    <w:rsid w:val="00436646"/>
    <w:rsid w:val="00437789"/>
    <w:rsid w:val="004416B1"/>
    <w:rsid w:val="00441F84"/>
    <w:rsid w:val="00444635"/>
    <w:rsid w:val="00444FA6"/>
    <w:rsid w:val="004466A0"/>
    <w:rsid w:val="0045217A"/>
    <w:rsid w:val="00452576"/>
    <w:rsid w:val="004540C0"/>
    <w:rsid w:val="00454C9E"/>
    <w:rsid w:val="00455B5D"/>
    <w:rsid w:val="00461E87"/>
    <w:rsid w:val="004700F6"/>
    <w:rsid w:val="0047127E"/>
    <w:rsid w:val="00475D86"/>
    <w:rsid w:val="00476249"/>
    <w:rsid w:val="004800C7"/>
    <w:rsid w:val="00485919"/>
    <w:rsid w:val="00485F71"/>
    <w:rsid w:val="004A0C8B"/>
    <w:rsid w:val="004A3CF7"/>
    <w:rsid w:val="004B1D42"/>
    <w:rsid w:val="004B570D"/>
    <w:rsid w:val="004B7F1E"/>
    <w:rsid w:val="004C1977"/>
    <w:rsid w:val="004C7E7B"/>
    <w:rsid w:val="004D5033"/>
    <w:rsid w:val="004D6A4A"/>
    <w:rsid w:val="004E0C72"/>
    <w:rsid w:val="004E42C7"/>
    <w:rsid w:val="004E53EC"/>
    <w:rsid w:val="004F4000"/>
    <w:rsid w:val="004F54B3"/>
    <w:rsid w:val="004F550B"/>
    <w:rsid w:val="004F6207"/>
    <w:rsid w:val="005013F3"/>
    <w:rsid w:val="0051334A"/>
    <w:rsid w:val="005163BA"/>
    <w:rsid w:val="005206C2"/>
    <w:rsid w:val="00534632"/>
    <w:rsid w:val="00547545"/>
    <w:rsid w:val="00551F16"/>
    <w:rsid w:val="005543E5"/>
    <w:rsid w:val="00556EEE"/>
    <w:rsid w:val="005652F8"/>
    <w:rsid w:val="0056609A"/>
    <w:rsid w:val="00571D51"/>
    <w:rsid w:val="005734D0"/>
    <w:rsid w:val="005747E2"/>
    <w:rsid w:val="00577B62"/>
    <w:rsid w:val="005838EE"/>
    <w:rsid w:val="00586697"/>
    <w:rsid w:val="00593E2D"/>
    <w:rsid w:val="00597199"/>
    <w:rsid w:val="005A2AD7"/>
    <w:rsid w:val="005A5E66"/>
    <w:rsid w:val="005B1E23"/>
    <w:rsid w:val="005B2E02"/>
    <w:rsid w:val="005B41C7"/>
    <w:rsid w:val="005B7B15"/>
    <w:rsid w:val="005C41CB"/>
    <w:rsid w:val="005F0CFC"/>
    <w:rsid w:val="00602078"/>
    <w:rsid w:val="006077A2"/>
    <w:rsid w:val="00607E74"/>
    <w:rsid w:val="00617F69"/>
    <w:rsid w:val="00621168"/>
    <w:rsid w:val="006273A0"/>
    <w:rsid w:val="00630E06"/>
    <w:rsid w:val="006329DF"/>
    <w:rsid w:val="00637267"/>
    <w:rsid w:val="00643CE4"/>
    <w:rsid w:val="00651F40"/>
    <w:rsid w:val="00655EE9"/>
    <w:rsid w:val="0066086B"/>
    <w:rsid w:val="006609AC"/>
    <w:rsid w:val="00671010"/>
    <w:rsid w:val="006716D4"/>
    <w:rsid w:val="006725D0"/>
    <w:rsid w:val="006749A2"/>
    <w:rsid w:val="00686FFD"/>
    <w:rsid w:val="006879A8"/>
    <w:rsid w:val="00691562"/>
    <w:rsid w:val="00691EBB"/>
    <w:rsid w:val="006978F4"/>
    <w:rsid w:val="006A567E"/>
    <w:rsid w:val="006A7940"/>
    <w:rsid w:val="006B66BD"/>
    <w:rsid w:val="006C619C"/>
    <w:rsid w:val="006D693C"/>
    <w:rsid w:val="006E596F"/>
    <w:rsid w:val="006F08E2"/>
    <w:rsid w:val="006F267C"/>
    <w:rsid w:val="00703063"/>
    <w:rsid w:val="00704078"/>
    <w:rsid w:val="00705D31"/>
    <w:rsid w:val="00726AF9"/>
    <w:rsid w:val="00727906"/>
    <w:rsid w:val="00730856"/>
    <w:rsid w:val="00732192"/>
    <w:rsid w:val="007347D8"/>
    <w:rsid w:val="00734828"/>
    <w:rsid w:val="00735622"/>
    <w:rsid w:val="00736040"/>
    <w:rsid w:val="00750B2A"/>
    <w:rsid w:val="00760CDD"/>
    <w:rsid w:val="007613C4"/>
    <w:rsid w:val="007632F9"/>
    <w:rsid w:val="007639DE"/>
    <w:rsid w:val="00764D82"/>
    <w:rsid w:val="00777EC4"/>
    <w:rsid w:val="00797234"/>
    <w:rsid w:val="007A4CE0"/>
    <w:rsid w:val="007A53F8"/>
    <w:rsid w:val="007B38C3"/>
    <w:rsid w:val="007C1C2F"/>
    <w:rsid w:val="007C38F3"/>
    <w:rsid w:val="007C3C3F"/>
    <w:rsid w:val="007D3C4B"/>
    <w:rsid w:val="007F31C9"/>
    <w:rsid w:val="008043D6"/>
    <w:rsid w:val="00810039"/>
    <w:rsid w:val="008159C0"/>
    <w:rsid w:val="00822486"/>
    <w:rsid w:val="0082259B"/>
    <w:rsid w:val="00825FFE"/>
    <w:rsid w:val="00841D5D"/>
    <w:rsid w:val="00843335"/>
    <w:rsid w:val="00852121"/>
    <w:rsid w:val="00852C74"/>
    <w:rsid w:val="0085789C"/>
    <w:rsid w:val="00867A41"/>
    <w:rsid w:val="00873D95"/>
    <w:rsid w:val="00874442"/>
    <w:rsid w:val="008765FE"/>
    <w:rsid w:val="0088082E"/>
    <w:rsid w:val="008C2733"/>
    <w:rsid w:val="008C38B7"/>
    <w:rsid w:val="008C3E03"/>
    <w:rsid w:val="008C5C33"/>
    <w:rsid w:val="008D2C05"/>
    <w:rsid w:val="008D44CF"/>
    <w:rsid w:val="008D4DA3"/>
    <w:rsid w:val="008D50EB"/>
    <w:rsid w:val="008F062E"/>
    <w:rsid w:val="00902DE8"/>
    <w:rsid w:val="0090579F"/>
    <w:rsid w:val="00907E7D"/>
    <w:rsid w:val="00911568"/>
    <w:rsid w:val="009126EF"/>
    <w:rsid w:val="00913314"/>
    <w:rsid w:val="00915CEC"/>
    <w:rsid w:val="00917384"/>
    <w:rsid w:val="00925B0A"/>
    <w:rsid w:val="0092672E"/>
    <w:rsid w:val="00933229"/>
    <w:rsid w:val="00935CD6"/>
    <w:rsid w:val="00946F13"/>
    <w:rsid w:val="00955727"/>
    <w:rsid w:val="00956F75"/>
    <w:rsid w:val="00963BC4"/>
    <w:rsid w:val="00972A0C"/>
    <w:rsid w:val="0097421D"/>
    <w:rsid w:val="00977EA8"/>
    <w:rsid w:val="00983AD5"/>
    <w:rsid w:val="00991510"/>
    <w:rsid w:val="0099307F"/>
    <w:rsid w:val="00995016"/>
    <w:rsid w:val="009A1DC9"/>
    <w:rsid w:val="009C10EB"/>
    <w:rsid w:val="009C1886"/>
    <w:rsid w:val="009C1AE4"/>
    <w:rsid w:val="009C7DA5"/>
    <w:rsid w:val="009E0858"/>
    <w:rsid w:val="009E188C"/>
    <w:rsid w:val="009E3FCA"/>
    <w:rsid w:val="009F1F9D"/>
    <w:rsid w:val="009F7A1B"/>
    <w:rsid w:val="00A05B1E"/>
    <w:rsid w:val="00A05F56"/>
    <w:rsid w:val="00A103C1"/>
    <w:rsid w:val="00A15399"/>
    <w:rsid w:val="00A21337"/>
    <w:rsid w:val="00A3224A"/>
    <w:rsid w:val="00A33E72"/>
    <w:rsid w:val="00A45CBF"/>
    <w:rsid w:val="00A468FE"/>
    <w:rsid w:val="00A52B1A"/>
    <w:rsid w:val="00A55649"/>
    <w:rsid w:val="00A6166F"/>
    <w:rsid w:val="00A715DB"/>
    <w:rsid w:val="00A75BEE"/>
    <w:rsid w:val="00A803DB"/>
    <w:rsid w:val="00A84463"/>
    <w:rsid w:val="00A85BE8"/>
    <w:rsid w:val="00A940C2"/>
    <w:rsid w:val="00AA4FC1"/>
    <w:rsid w:val="00AA5706"/>
    <w:rsid w:val="00AA57C3"/>
    <w:rsid w:val="00AC4CD7"/>
    <w:rsid w:val="00AC6203"/>
    <w:rsid w:val="00AD00B8"/>
    <w:rsid w:val="00AD1396"/>
    <w:rsid w:val="00AD14A7"/>
    <w:rsid w:val="00AD255C"/>
    <w:rsid w:val="00AE0D3B"/>
    <w:rsid w:val="00AF1B3C"/>
    <w:rsid w:val="00B17149"/>
    <w:rsid w:val="00B17F42"/>
    <w:rsid w:val="00B266DC"/>
    <w:rsid w:val="00B27A3B"/>
    <w:rsid w:val="00B42D00"/>
    <w:rsid w:val="00B53CC0"/>
    <w:rsid w:val="00B63B3B"/>
    <w:rsid w:val="00B71B97"/>
    <w:rsid w:val="00B82940"/>
    <w:rsid w:val="00B853AF"/>
    <w:rsid w:val="00BA3BE8"/>
    <w:rsid w:val="00BB19AD"/>
    <w:rsid w:val="00BB7F5F"/>
    <w:rsid w:val="00BC1475"/>
    <w:rsid w:val="00BD6894"/>
    <w:rsid w:val="00BE2F1F"/>
    <w:rsid w:val="00C0136E"/>
    <w:rsid w:val="00C04CAD"/>
    <w:rsid w:val="00C06D9B"/>
    <w:rsid w:val="00C10AE3"/>
    <w:rsid w:val="00C12990"/>
    <w:rsid w:val="00C13919"/>
    <w:rsid w:val="00C13FA3"/>
    <w:rsid w:val="00C26FCD"/>
    <w:rsid w:val="00C332AC"/>
    <w:rsid w:val="00C37E83"/>
    <w:rsid w:val="00C544B6"/>
    <w:rsid w:val="00C6319E"/>
    <w:rsid w:val="00C83756"/>
    <w:rsid w:val="00C90BD2"/>
    <w:rsid w:val="00C91532"/>
    <w:rsid w:val="00C96F6A"/>
    <w:rsid w:val="00CA02B0"/>
    <w:rsid w:val="00CA03BC"/>
    <w:rsid w:val="00CA4C8C"/>
    <w:rsid w:val="00CB0278"/>
    <w:rsid w:val="00CB727D"/>
    <w:rsid w:val="00CC781D"/>
    <w:rsid w:val="00CD60F5"/>
    <w:rsid w:val="00D21458"/>
    <w:rsid w:val="00D251B5"/>
    <w:rsid w:val="00D32FEF"/>
    <w:rsid w:val="00D36CD6"/>
    <w:rsid w:val="00D5725C"/>
    <w:rsid w:val="00D61CC5"/>
    <w:rsid w:val="00D6722A"/>
    <w:rsid w:val="00D738A7"/>
    <w:rsid w:val="00D836D0"/>
    <w:rsid w:val="00D929C2"/>
    <w:rsid w:val="00D92ADD"/>
    <w:rsid w:val="00D9551B"/>
    <w:rsid w:val="00D97A4F"/>
    <w:rsid w:val="00DA06AB"/>
    <w:rsid w:val="00DA2D8B"/>
    <w:rsid w:val="00DA41CE"/>
    <w:rsid w:val="00DA5DF5"/>
    <w:rsid w:val="00DA6162"/>
    <w:rsid w:val="00DA7D49"/>
    <w:rsid w:val="00DA7F16"/>
    <w:rsid w:val="00DB7151"/>
    <w:rsid w:val="00DC16D0"/>
    <w:rsid w:val="00DC2F10"/>
    <w:rsid w:val="00DC5B80"/>
    <w:rsid w:val="00DD5034"/>
    <w:rsid w:val="00DD6728"/>
    <w:rsid w:val="00DE472C"/>
    <w:rsid w:val="00DE701D"/>
    <w:rsid w:val="00DF0B00"/>
    <w:rsid w:val="00DF1FE3"/>
    <w:rsid w:val="00DF4183"/>
    <w:rsid w:val="00E21C7F"/>
    <w:rsid w:val="00E25E8B"/>
    <w:rsid w:val="00E26D12"/>
    <w:rsid w:val="00E35B5E"/>
    <w:rsid w:val="00E40E29"/>
    <w:rsid w:val="00E42D28"/>
    <w:rsid w:val="00E50D50"/>
    <w:rsid w:val="00E53AAC"/>
    <w:rsid w:val="00E6317D"/>
    <w:rsid w:val="00E63596"/>
    <w:rsid w:val="00E64FB1"/>
    <w:rsid w:val="00E66368"/>
    <w:rsid w:val="00E71A94"/>
    <w:rsid w:val="00E84EA5"/>
    <w:rsid w:val="00E85DE7"/>
    <w:rsid w:val="00E90428"/>
    <w:rsid w:val="00E91DA9"/>
    <w:rsid w:val="00E94475"/>
    <w:rsid w:val="00E946D9"/>
    <w:rsid w:val="00EA49C6"/>
    <w:rsid w:val="00EA7D68"/>
    <w:rsid w:val="00EB1397"/>
    <w:rsid w:val="00EC05E4"/>
    <w:rsid w:val="00EE54C9"/>
    <w:rsid w:val="00EE5ABB"/>
    <w:rsid w:val="00EE5D7A"/>
    <w:rsid w:val="00F0329A"/>
    <w:rsid w:val="00F1693C"/>
    <w:rsid w:val="00F236A2"/>
    <w:rsid w:val="00F3126D"/>
    <w:rsid w:val="00F40200"/>
    <w:rsid w:val="00F452D2"/>
    <w:rsid w:val="00F47B50"/>
    <w:rsid w:val="00F6199B"/>
    <w:rsid w:val="00F762DD"/>
    <w:rsid w:val="00F77322"/>
    <w:rsid w:val="00F80859"/>
    <w:rsid w:val="00F810CB"/>
    <w:rsid w:val="00F86397"/>
    <w:rsid w:val="00F86BAD"/>
    <w:rsid w:val="00F86EA6"/>
    <w:rsid w:val="00F92428"/>
    <w:rsid w:val="00F96BFF"/>
    <w:rsid w:val="00FB2680"/>
    <w:rsid w:val="00FB7260"/>
    <w:rsid w:val="00FC4BA5"/>
    <w:rsid w:val="00FC6714"/>
    <w:rsid w:val="00FC6F99"/>
    <w:rsid w:val="00FC7CBC"/>
    <w:rsid w:val="00FE6E8C"/>
    <w:rsid w:val="00FF1A51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unhideWhenUsed/>
    <w:rsid w:val="00AD14A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8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A0E7-2054-4190-9151-1A909DAD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10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31</cp:revision>
  <cp:lastPrinted>2019-11-26T23:59:00Z</cp:lastPrinted>
  <dcterms:created xsi:type="dcterms:W3CDTF">2019-11-25T01:49:00Z</dcterms:created>
  <dcterms:modified xsi:type="dcterms:W3CDTF">2019-12-13T04:24:00Z</dcterms:modified>
</cp:coreProperties>
</file>