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Pr="004D2307" w:rsidRDefault="004D2307" w:rsidP="005A10CF">
      <w:pPr>
        <w:jc w:val="center"/>
      </w:pPr>
      <w:r w:rsidRPr="004D2307">
        <w:t>на проект решения Думы Лесозаводского городского округа «О внесении изменений в бюджет Лесозаводского городского округа на 201</w:t>
      </w:r>
      <w:r w:rsidR="00C84CC1">
        <w:t>9</w:t>
      </w:r>
      <w:r w:rsidRPr="004D2307">
        <w:t xml:space="preserve"> год и плановый период 20</w:t>
      </w:r>
      <w:r w:rsidR="00C84CC1">
        <w:t>20</w:t>
      </w:r>
      <w:r w:rsidRPr="004D2307">
        <w:t xml:space="preserve"> и 202</w:t>
      </w:r>
      <w:r w:rsidR="00C84CC1">
        <w:t>1</w:t>
      </w:r>
      <w:r w:rsidRPr="004D2307">
        <w:t xml:space="preserve"> годов, утвержденный решением Думы Лесозаводского городского округа от 21.12.201</w:t>
      </w:r>
      <w:r w:rsidR="00C84CC1">
        <w:t>8</w:t>
      </w:r>
      <w:r w:rsidRPr="004D2307">
        <w:t xml:space="preserve"> №5</w:t>
      </w:r>
      <w:r w:rsidR="00C84CC1">
        <w:t>4</w:t>
      </w:r>
      <w:r w:rsidRPr="004D2307">
        <w:t>-НПА»</w:t>
      </w:r>
    </w:p>
    <w:p w:rsidR="004D2307" w:rsidRPr="004D2307" w:rsidRDefault="004D2307" w:rsidP="004D2307">
      <w:pPr>
        <w:rPr>
          <w:b/>
        </w:rPr>
      </w:pPr>
    </w:p>
    <w:p w:rsidR="004D2307" w:rsidRPr="004D2307" w:rsidRDefault="005956A4" w:rsidP="004D2307">
      <w:r>
        <w:t>11</w:t>
      </w:r>
      <w:r w:rsidR="004D2307" w:rsidRPr="004D2307">
        <w:t>.0</w:t>
      </w:r>
      <w:r w:rsidR="00C84CC1">
        <w:t>6</w:t>
      </w:r>
      <w:r w:rsidR="004D2307" w:rsidRPr="004D2307">
        <w:t>.201</w:t>
      </w:r>
      <w:r w:rsidR="00C84CC1">
        <w:t>9</w:t>
      </w:r>
      <w:r w:rsidR="004D2307" w:rsidRPr="004D2307">
        <w:t xml:space="preserve">                                                      г. Лесозаводск                                           № </w:t>
      </w:r>
      <w:r w:rsidR="000B7823">
        <w:t>16</w:t>
      </w:r>
    </w:p>
    <w:p w:rsidR="000E4855" w:rsidRPr="004D2307" w:rsidRDefault="000E4855" w:rsidP="004D2307"/>
    <w:p w:rsidR="004D2307" w:rsidRPr="004D2307" w:rsidRDefault="004D2307" w:rsidP="004D2307">
      <w:pPr>
        <w:jc w:val="both"/>
      </w:pPr>
      <w:r w:rsidRPr="004D2307">
        <w:rPr>
          <w:rFonts w:eastAsiaTheme="minorHAnsi"/>
          <w:lang w:eastAsia="en-US"/>
        </w:rPr>
        <w:t xml:space="preserve">        </w:t>
      </w:r>
      <w:proofErr w:type="gramStart"/>
      <w:r w:rsidRPr="004D2307">
        <w:rPr>
          <w:rFonts w:eastAsiaTheme="minorHAnsi"/>
          <w:lang w:eastAsia="en-US"/>
        </w:rPr>
        <w:t>Заключение Контрольно-счетной палаты</w:t>
      </w:r>
      <w:r w:rsidRPr="004D2307"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201</w:t>
      </w:r>
      <w:r w:rsidR="00C84CC1">
        <w:t>9</w:t>
      </w:r>
      <w:r w:rsidRPr="004D2307">
        <w:t xml:space="preserve"> год и плановый период 20</w:t>
      </w:r>
      <w:r w:rsidR="00C84CC1">
        <w:t>20</w:t>
      </w:r>
      <w:r w:rsidRPr="004D2307">
        <w:t xml:space="preserve"> и 202</w:t>
      </w:r>
      <w:r w:rsidR="00C84CC1">
        <w:t>1</w:t>
      </w:r>
      <w:r w:rsidRPr="004D2307">
        <w:t xml:space="preserve"> годов, утвержденный решением Думы Лесозаводского городского округа от 21.12.201</w:t>
      </w:r>
      <w:r w:rsidR="00C84CC1">
        <w:t>8 №</w:t>
      </w:r>
      <w:r w:rsidRPr="004D2307">
        <w:t>5</w:t>
      </w:r>
      <w:r w:rsidR="00C84CC1">
        <w:t>4</w:t>
      </w:r>
      <w:r w:rsidRPr="004D2307">
        <w:t xml:space="preserve">-НПА» подготовлено в соответствии с </w:t>
      </w:r>
      <w:r w:rsidRPr="004D2307">
        <w:rPr>
          <w:rFonts w:eastAsia="Calibri"/>
          <w:lang w:eastAsia="en-US"/>
        </w:rPr>
        <w:t xml:space="preserve">Федеральным законом от 07.02.2011 </w:t>
      </w:r>
      <w:r w:rsidRPr="004D2307">
        <w:rPr>
          <w:lang w:eastAsia="en-US"/>
        </w:rPr>
        <w:t>№</w:t>
      </w:r>
      <w:r w:rsidRPr="004D2307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</w:t>
      </w:r>
      <w:proofErr w:type="gramEnd"/>
      <w:r w:rsidRPr="004D2307">
        <w:rPr>
          <w:rFonts w:eastAsia="Calibri"/>
          <w:lang w:eastAsia="en-US"/>
        </w:rPr>
        <w:t xml:space="preserve"> и муниципальных образований», </w:t>
      </w:r>
      <w:r w:rsidRPr="004D2307">
        <w:t>ст.6 Положения о Контрольно-счетной палате Лесозаводского городского округа.</w:t>
      </w:r>
    </w:p>
    <w:p w:rsidR="004D2307" w:rsidRPr="004D2307" w:rsidRDefault="004D2307" w:rsidP="004D2307">
      <w:pPr>
        <w:jc w:val="both"/>
      </w:pPr>
      <w:r w:rsidRPr="004D2307">
        <w:tab/>
        <w:t>Проект решения «О внесении изменений в бюджет Лесозаводского городского округа на 201</w:t>
      </w:r>
      <w:r w:rsidR="00C84CC1">
        <w:t>9</w:t>
      </w:r>
      <w:r w:rsidRPr="004D2307">
        <w:t xml:space="preserve"> год и плановый период 20</w:t>
      </w:r>
      <w:r w:rsidR="00C84CC1">
        <w:t>20</w:t>
      </w:r>
      <w:r w:rsidRPr="004D2307">
        <w:t xml:space="preserve"> и 202</w:t>
      </w:r>
      <w:r w:rsidR="00C84CC1">
        <w:t>1</w:t>
      </w:r>
      <w:r w:rsidRPr="004D2307">
        <w:t xml:space="preserve"> годов, утвержденный решением Думы Лесозаводского городского округа от 21.12.201</w:t>
      </w:r>
      <w:r w:rsidR="00C84CC1">
        <w:t>8 №</w:t>
      </w:r>
      <w:r w:rsidRPr="004D2307">
        <w:t>5</w:t>
      </w:r>
      <w:r w:rsidR="00C84CC1">
        <w:t>4</w:t>
      </w:r>
      <w:r w:rsidRPr="004D2307">
        <w:t xml:space="preserve">-НПА»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</w:t>
      </w:r>
      <w:r w:rsidR="00C84CC1">
        <w:t>03</w:t>
      </w:r>
      <w:r w:rsidRPr="004D2307">
        <w:t>.0</w:t>
      </w:r>
      <w:r w:rsidR="00C84CC1">
        <w:t>6</w:t>
      </w:r>
      <w:r w:rsidRPr="004D2307">
        <w:t>.201</w:t>
      </w:r>
      <w:r w:rsidR="00C84CC1">
        <w:t>9</w:t>
      </w:r>
      <w:r w:rsidRPr="004D2307">
        <w:t>.</w:t>
      </w:r>
    </w:p>
    <w:p w:rsidR="004D2307" w:rsidRPr="000B7823" w:rsidRDefault="004D2307" w:rsidP="004D2307">
      <w:pPr>
        <w:spacing w:line="276" w:lineRule="auto"/>
        <w:ind w:firstLine="709"/>
        <w:jc w:val="both"/>
        <w:rPr>
          <w:b/>
          <w:bCs/>
          <w:i/>
          <w:iCs/>
          <w:sz w:val="16"/>
          <w:szCs w:val="16"/>
        </w:rPr>
      </w:pPr>
    </w:p>
    <w:p w:rsidR="004D2307" w:rsidRPr="004D2307" w:rsidRDefault="004D2307" w:rsidP="004D2307">
      <w:pPr>
        <w:spacing w:line="276" w:lineRule="auto"/>
        <w:ind w:firstLine="709"/>
        <w:jc w:val="both"/>
        <w:rPr>
          <w:b/>
          <w:bCs/>
        </w:rPr>
      </w:pPr>
      <w:r w:rsidRPr="004D2307">
        <w:rPr>
          <w:b/>
          <w:bCs/>
          <w:i/>
          <w:iCs/>
        </w:rPr>
        <w:t>В результате экспертизы установлено</w:t>
      </w:r>
      <w:r w:rsidRPr="004D2307">
        <w:rPr>
          <w:b/>
          <w:bCs/>
        </w:rPr>
        <w:t xml:space="preserve">: </w:t>
      </w:r>
    </w:p>
    <w:p w:rsidR="004D2307" w:rsidRPr="004D2307" w:rsidRDefault="00AF2ADB" w:rsidP="004D2307">
      <w:pPr>
        <w:ind w:firstLine="567"/>
        <w:jc w:val="both"/>
      </w:pPr>
      <w:r>
        <w:t>В</w:t>
      </w:r>
      <w:r w:rsidR="004D2307" w:rsidRPr="0041486E">
        <w:t xml:space="preserve"> бюджет Лесозаводского городского округа на 201</w:t>
      </w:r>
      <w:r w:rsidR="00C84CC1">
        <w:t>9</w:t>
      </w:r>
      <w:r w:rsidR="004D2307" w:rsidRPr="0041486E">
        <w:t xml:space="preserve"> год и на плановый период 20</w:t>
      </w:r>
      <w:r w:rsidR="00C84CC1">
        <w:t>20</w:t>
      </w:r>
      <w:r w:rsidR="004D2307" w:rsidRPr="0041486E">
        <w:t xml:space="preserve"> и 202</w:t>
      </w:r>
      <w:r w:rsidR="00C84CC1">
        <w:t>1</w:t>
      </w:r>
      <w:r w:rsidR="004D2307" w:rsidRPr="0041486E">
        <w:t xml:space="preserve"> годов</w:t>
      </w:r>
      <w:r w:rsidR="004D2307" w:rsidRPr="0041486E">
        <w:rPr>
          <w:rFonts w:eastAsia="Calibri"/>
          <w:bCs/>
          <w:iCs/>
          <w:lang w:eastAsia="en-US"/>
        </w:rPr>
        <w:t xml:space="preserve">, </w:t>
      </w:r>
      <w:r w:rsidR="004D2307" w:rsidRPr="0041486E">
        <w:t>утвержденный решением Думы Лесозаводского городского округа от 21.12.201</w:t>
      </w:r>
      <w:r w:rsidR="00C84CC1">
        <w:t>8</w:t>
      </w:r>
      <w:r w:rsidR="004D2307" w:rsidRPr="0041486E">
        <w:t xml:space="preserve"> №5</w:t>
      </w:r>
      <w:r w:rsidR="00C84CC1">
        <w:t>4</w:t>
      </w:r>
      <w:r w:rsidR="004D2307" w:rsidRPr="0041486E">
        <w:t>-</w:t>
      </w:r>
      <w:r w:rsidR="004D2307" w:rsidRPr="00EA7818">
        <w:t xml:space="preserve">НПА (в редакции решения Думы от </w:t>
      </w:r>
      <w:r w:rsidR="00EA7818" w:rsidRPr="00EA7818">
        <w:t>30</w:t>
      </w:r>
      <w:r w:rsidR="004D2307" w:rsidRPr="00EA7818">
        <w:t>.0</w:t>
      </w:r>
      <w:r w:rsidR="00EA7818" w:rsidRPr="00EA7818">
        <w:t>5</w:t>
      </w:r>
      <w:r w:rsidR="004D2307" w:rsidRPr="00EA7818">
        <w:t>.201</w:t>
      </w:r>
      <w:r w:rsidR="00C84CC1" w:rsidRPr="00EA7818">
        <w:t>9</w:t>
      </w:r>
      <w:r w:rsidR="004D2307" w:rsidRPr="00EA7818">
        <w:t xml:space="preserve"> №</w:t>
      </w:r>
      <w:r w:rsidR="00EA7818" w:rsidRPr="00EA7818">
        <w:t>84</w:t>
      </w:r>
      <w:r w:rsidR="004D2307" w:rsidRPr="00EA7818">
        <w:t>-НПА),</w:t>
      </w:r>
      <w:r w:rsidR="004D2307" w:rsidRPr="00C84CC1">
        <w:t xml:space="preserve"> вносятся изменения в основные характеристики</w:t>
      </w:r>
      <w:r w:rsidR="004D2307" w:rsidRPr="004D2307">
        <w:t xml:space="preserve"> бюджета </w:t>
      </w:r>
      <w:r w:rsidR="004D2307">
        <w:t>на 201</w:t>
      </w:r>
      <w:r w:rsidR="00C84CC1">
        <w:t>9</w:t>
      </w:r>
      <w:r w:rsidR="004D2307">
        <w:t xml:space="preserve"> год. </w:t>
      </w:r>
      <w:r w:rsidR="004D2307" w:rsidRPr="004D2307">
        <w:t xml:space="preserve">На плановый период 2019 и 2020 годов </w:t>
      </w:r>
      <w:r w:rsidR="00C84CC1">
        <w:t xml:space="preserve">параметры бюджета </w:t>
      </w:r>
      <w:r w:rsidR="004D2307" w:rsidRPr="004D2307">
        <w:t>не изменя</w:t>
      </w:r>
      <w:r w:rsidR="00C84CC1">
        <w:t>ю</w:t>
      </w:r>
      <w:r w:rsidR="004D2307" w:rsidRPr="004D2307">
        <w:t>тся.</w:t>
      </w:r>
    </w:p>
    <w:p w:rsidR="004D2307" w:rsidRPr="004D2307" w:rsidRDefault="004D2307" w:rsidP="0041486E">
      <w:pPr>
        <w:ind w:firstLine="708"/>
        <w:jc w:val="both"/>
        <w:rPr>
          <w:color w:val="000000"/>
        </w:rPr>
      </w:pPr>
      <w:r w:rsidRPr="004D2307">
        <w:rPr>
          <w:rFonts w:eastAsiaTheme="minorHAnsi"/>
          <w:lang w:eastAsia="en-US"/>
        </w:rPr>
        <w:t>После внесения изменений, предлагаемых проектом решения, общие параметры  бюджета</w:t>
      </w:r>
      <w:r w:rsidRPr="004D2307">
        <w:rPr>
          <w:rFonts w:eastAsiaTheme="minorHAnsi"/>
          <w:sz w:val="28"/>
          <w:szCs w:val="28"/>
          <w:lang w:eastAsia="en-US"/>
        </w:rPr>
        <w:t xml:space="preserve"> </w:t>
      </w:r>
      <w:r w:rsidRPr="004D2307">
        <w:rPr>
          <w:color w:val="000000"/>
        </w:rPr>
        <w:t>Лесозаводского городского округа на 201</w:t>
      </w:r>
      <w:r w:rsidR="00BF1774">
        <w:rPr>
          <w:color w:val="000000"/>
        </w:rPr>
        <w:t>9</w:t>
      </w:r>
      <w:r w:rsidRPr="004D2307">
        <w:rPr>
          <w:color w:val="000000"/>
        </w:rPr>
        <w:t xml:space="preserve"> год составят:      </w:t>
      </w:r>
    </w:p>
    <w:p w:rsidR="004D2307" w:rsidRPr="004D2307" w:rsidRDefault="004D2307" w:rsidP="004D2307">
      <w:pPr>
        <w:rPr>
          <w:color w:val="000000"/>
          <w:sz w:val="20"/>
          <w:szCs w:val="20"/>
        </w:rPr>
      </w:pPr>
      <w:r w:rsidRPr="004D230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4D2307">
        <w:rPr>
          <w:color w:val="000000"/>
          <w:sz w:val="20"/>
          <w:szCs w:val="20"/>
        </w:rPr>
        <w:t>тыс.руб</w:t>
      </w:r>
      <w:proofErr w:type="spellEnd"/>
      <w:r w:rsidRPr="004D2307">
        <w:rPr>
          <w:color w:val="000000"/>
          <w:sz w:val="20"/>
          <w:szCs w:val="20"/>
        </w:rPr>
        <w:t xml:space="preserve">.)      </w:t>
      </w:r>
    </w:p>
    <w:tbl>
      <w:tblPr>
        <w:tblW w:w="85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2108"/>
        <w:gridCol w:w="1540"/>
        <w:gridCol w:w="1578"/>
        <w:gridCol w:w="1559"/>
      </w:tblGrid>
      <w:tr w:rsidR="001266A3" w:rsidRPr="004D2307" w:rsidTr="001266A3">
        <w:trPr>
          <w:tblCellSpacing w:w="0" w:type="dxa"/>
        </w:trPr>
        <w:tc>
          <w:tcPr>
            <w:tcW w:w="1730" w:type="dxa"/>
            <w:vMerge w:val="restart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08" w:type="dxa"/>
            <w:vMerge w:val="restart"/>
            <w:vAlign w:val="center"/>
          </w:tcPr>
          <w:p w:rsidR="001266A3" w:rsidRPr="004D2307" w:rsidRDefault="001266A3" w:rsidP="00EA781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A7818">
              <w:rPr>
                <w:color w:val="000000"/>
                <w:sz w:val="20"/>
                <w:szCs w:val="20"/>
              </w:rPr>
              <w:t>решение Думы ЛГО от 30</w:t>
            </w:r>
            <w:r w:rsidRPr="00EA7818">
              <w:rPr>
                <w:sz w:val="20"/>
                <w:szCs w:val="20"/>
              </w:rPr>
              <w:t>.05.2019 №84-НПА</w:t>
            </w:r>
          </w:p>
        </w:tc>
        <w:tc>
          <w:tcPr>
            <w:tcW w:w="1540" w:type="dxa"/>
            <w:vMerge w:val="restart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3137" w:type="dxa"/>
            <w:gridSpan w:val="2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1266A3" w:rsidRPr="004D2307" w:rsidTr="001266A3">
        <w:trPr>
          <w:tblCellSpacing w:w="0" w:type="dxa"/>
        </w:trPr>
        <w:tc>
          <w:tcPr>
            <w:tcW w:w="1730" w:type="dxa"/>
            <w:vMerge/>
            <w:vAlign w:val="center"/>
            <w:hideMark/>
          </w:tcPr>
          <w:p w:rsidR="001266A3" w:rsidRPr="004D2307" w:rsidRDefault="001266A3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1266A3" w:rsidRPr="004D2307" w:rsidRDefault="001266A3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1266A3" w:rsidRPr="004D2307" w:rsidRDefault="001266A3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сумма (гр.4-гр.3)</w:t>
            </w:r>
          </w:p>
        </w:tc>
        <w:tc>
          <w:tcPr>
            <w:tcW w:w="1559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Темп роста %</w:t>
            </w:r>
          </w:p>
        </w:tc>
      </w:tr>
      <w:tr w:rsidR="001266A3" w:rsidRPr="004D2307" w:rsidTr="001266A3">
        <w:trPr>
          <w:tblCellSpacing w:w="0" w:type="dxa"/>
        </w:trPr>
        <w:tc>
          <w:tcPr>
            <w:tcW w:w="1730" w:type="dxa"/>
            <w:vAlign w:val="center"/>
          </w:tcPr>
          <w:p w:rsidR="001266A3" w:rsidRPr="004D2307" w:rsidRDefault="001266A3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:rsidR="001266A3" w:rsidRPr="004D2307" w:rsidRDefault="001266A3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:rsidR="001266A3" w:rsidRPr="004D2307" w:rsidRDefault="001266A3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8" w:type="dxa"/>
            <w:vAlign w:val="center"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266A3" w:rsidRPr="004D2307" w:rsidTr="001266A3">
        <w:trPr>
          <w:tblCellSpacing w:w="0" w:type="dxa"/>
        </w:trPr>
        <w:tc>
          <w:tcPr>
            <w:tcW w:w="1730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108" w:type="dxa"/>
          </w:tcPr>
          <w:p w:rsidR="001266A3" w:rsidRPr="00EA7818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A7818">
              <w:rPr>
                <w:color w:val="000000"/>
              </w:rPr>
              <w:t>1083291,0</w:t>
            </w:r>
          </w:p>
        </w:tc>
        <w:tc>
          <w:tcPr>
            <w:tcW w:w="1540" w:type="dxa"/>
            <w:vAlign w:val="center"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1094342,84</w:t>
            </w:r>
          </w:p>
        </w:tc>
        <w:tc>
          <w:tcPr>
            <w:tcW w:w="1578" w:type="dxa"/>
            <w:vAlign w:val="center"/>
          </w:tcPr>
          <w:p w:rsidR="001266A3" w:rsidRPr="0014476E" w:rsidRDefault="001266A3" w:rsidP="004D2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+11051,84</w:t>
            </w:r>
          </w:p>
        </w:tc>
        <w:tc>
          <w:tcPr>
            <w:tcW w:w="1559" w:type="dxa"/>
            <w:vAlign w:val="center"/>
          </w:tcPr>
          <w:p w:rsidR="001266A3" w:rsidRPr="0014476E" w:rsidRDefault="001266A3" w:rsidP="004D2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1266A3" w:rsidRPr="004D2307" w:rsidTr="001266A3">
        <w:trPr>
          <w:tblCellSpacing w:w="0" w:type="dxa"/>
        </w:trPr>
        <w:tc>
          <w:tcPr>
            <w:tcW w:w="1730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108" w:type="dxa"/>
          </w:tcPr>
          <w:p w:rsidR="001266A3" w:rsidRPr="00EA7818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A7818">
              <w:rPr>
                <w:color w:val="000000"/>
              </w:rPr>
              <w:t>1107475,0</w:t>
            </w:r>
          </w:p>
        </w:tc>
        <w:tc>
          <w:tcPr>
            <w:tcW w:w="1540" w:type="dxa"/>
            <w:vAlign w:val="center"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1118526,84</w:t>
            </w:r>
          </w:p>
        </w:tc>
        <w:tc>
          <w:tcPr>
            <w:tcW w:w="1578" w:type="dxa"/>
            <w:vAlign w:val="center"/>
          </w:tcPr>
          <w:p w:rsidR="001266A3" w:rsidRPr="0014476E" w:rsidRDefault="001266A3" w:rsidP="004D2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+11051,84</w:t>
            </w:r>
          </w:p>
        </w:tc>
        <w:tc>
          <w:tcPr>
            <w:tcW w:w="1559" w:type="dxa"/>
            <w:vAlign w:val="center"/>
          </w:tcPr>
          <w:p w:rsidR="001266A3" w:rsidRPr="0014476E" w:rsidRDefault="001266A3" w:rsidP="004D2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1266A3" w:rsidRPr="004D2307" w:rsidTr="001266A3">
        <w:trPr>
          <w:tblCellSpacing w:w="0" w:type="dxa"/>
        </w:trPr>
        <w:tc>
          <w:tcPr>
            <w:tcW w:w="1730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2108" w:type="dxa"/>
          </w:tcPr>
          <w:p w:rsidR="001266A3" w:rsidRPr="00EA7818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A7818">
              <w:rPr>
                <w:color w:val="000000"/>
              </w:rPr>
              <w:t>24184,0</w:t>
            </w:r>
          </w:p>
        </w:tc>
        <w:tc>
          <w:tcPr>
            <w:tcW w:w="1540" w:type="dxa"/>
            <w:vAlign w:val="center"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24184,0</w:t>
            </w:r>
          </w:p>
        </w:tc>
        <w:tc>
          <w:tcPr>
            <w:tcW w:w="1578" w:type="dxa"/>
          </w:tcPr>
          <w:p w:rsidR="001266A3" w:rsidRPr="004D2307" w:rsidRDefault="005956A4" w:rsidP="004D230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66A3" w:rsidRPr="004D2307" w:rsidRDefault="005956A4" w:rsidP="004D2307">
            <w:pPr>
              <w:jc w:val="center"/>
            </w:pPr>
            <w:r>
              <w:t>-</w:t>
            </w:r>
          </w:p>
        </w:tc>
      </w:tr>
    </w:tbl>
    <w:p w:rsidR="004D2307" w:rsidRPr="000B7823" w:rsidRDefault="004D2307" w:rsidP="004D2307">
      <w:pPr>
        <w:ind w:firstLine="709"/>
        <w:jc w:val="both"/>
        <w:rPr>
          <w:sz w:val="16"/>
          <w:szCs w:val="16"/>
        </w:rPr>
      </w:pPr>
    </w:p>
    <w:p w:rsidR="008F2C2C" w:rsidRPr="001266A3" w:rsidRDefault="008F2C2C" w:rsidP="008F2C2C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Проектом решения вносятся следующие изменения</w:t>
      </w:r>
      <w:r w:rsidRPr="001266A3">
        <w:rPr>
          <w:rFonts w:eastAsia="Calibri"/>
          <w:kern w:val="2"/>
          <w:lang w:eastAsia="en-US"/>
        </w:rPr>
        <w:t>:</w:t>
      </w:r>
    </w:p>
    <w:p w:rsidR="008F2C2C" w:rsidRDefault="004D2307" w:rsidP="004C777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4D2307">
        <w:rPr>
          <w:rFonts w:eastAsiaTheme="minorHAnsi"/>
          <w:lang w:eastAsia="en-US"/>
        </w:rPr>
        <w:t>оходы</w:t>
      </w:r>
      <w:r w:rsidR="00BF1774"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 xml:space="preserve">бюджета увеличиваются на </w:t>
      </w:r>
      <w:r w:rsidR="00BF1774">
        <w:rPr>
          <w:rFonts w:eastAsiaTheme="minorHAnsi"/>
          <w:lang w:eastAsia="en-US"/>
        </w:rPr>
        <w:t>11051,84</w:t>
      </w:r>
      <w:r w:rsidRPr="004D2307">
        <w:rPr>
          <w:rFonts w:eastAsiaTheme="minorHAnsi"/>
          <w:lang w:eastAsia="en-US"/>
        </w:rPr>
        <w:t xml:space="preserve"> тыс. руб. или на </w:t>
      </w:r>
      <w:r w:rsidR="00AF2ADB">
        <w:rPr>
          <w:rFonts w:eastAsiaTheme="minorHAnsi"/>
          <w:lang w:eastAsia="en-US"/>
        </w:rPr>
        <w:t>1</w:t>
      </w:r>
      <w:r w:rsidR="00F92F6D">
        <w:rPr>
          <w:rFonts w:eastAsiaTheme="minorHAnsi"/>
          <w:lang w:eastAsia="en-US"/>
        </w:rPr>
        <w:t>,0</w:t>
      </w:r>
      <w:r w:rsidRPr="004D2307">
        <w:rPr>
          <w:rFonts w:eastAsiaTheme="minorHAnsi"/>
          <w:lang w:eastAsia="en-US"/>
        </w:rPr>
        <w:t xml:space="preserve">% </w:t>
      </w:r>
      <w:r w:rsidR="008F2C2C">
        <w:rPr>
          <w:rFonts w:eastAsiaTheme="minorHAnsi"/>
          <w:lang w:eastAsia="en-US"/>
        </w:rPr>
        <w:t>и составят 1094342,84 тыс. руб. за счет распределения межбюджетных трансфертов.</w:t>
      </w:r>
    </w:p>
    <w:p w:rsidR="008F2C2C" w:rsidRDefault="008F2C2C" w:rsidP="004C777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Расходы бюджета увеличиваются на 11051,84 тыс. руб. или на 1 % и составят 1118526,84 тыс. руб.</w:t>
      </w:r>
    </w:p>
    <w:p w:rsidR="006E19B3" w:rsidRPr="006E19B3" w:rsidRDefault="006E19B3" w:rsidP="006E19B3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E19B3">
        <w:rPr>
          <w:rFonts w:eastAsia="Calibri"/>
          <w:kern w:val="2"/>
          <w:lang w:eastAsia="en-US"/>
        </w:rPr>
        <w:t>Проектом  решения вносятся также следующие изменения:</w:t>
      </w:r>
    </w:p>
    <w:p w:rsidR="006E19B3" w:rsidRPr="006E19B3" w:rsidRDefault="006E19B3" w:rsidP="006E19B3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E19B3">
        <w:rPr>
          <w:rFonts w:eastAsia="Calibri"/>
          <w:kern w:val="2"/>
          <w:lang w:eastAsia="en-US"/>
        </w:rPr>
        <w:t>- изменяются источники внутреннего финансирования дефицита бюджета на 2019 год</w:t>
      </w:r>
      <w:r>
        <w:rPr>
          <w:rFonts w:eastAsia="Calibri"/>
          <w:kern w:val="2"/>
          <w:lang w:eastAsia="en-US"/>
        </w:rPr>
        <w:t>,</w:t>
      </w:r>
      <w:r w:rsidRPr="006E19B3">
        <w:rPr>
          <w:rFonts w:eastAsia="Calibri"/>
          <w:kern w:val="2"/>
          <w:lang w:eastAsia="en-US"/>
        </w:rPr>
        <w:t xml:space="preserve"> уменьшается объем привлекаемых коммерческих кредитов на 24000 </w:t>
      </w:r>
      <w:proofErr w:type="spellStart"/>
      <w:r w:rsidRPr="006E19B3">
        <w:rPr>
          <w:rFonts w:eastAsia="Calibri"/>
          <w:kern w:val="2"/>
          <w:lang w:eastAsia="en-US"/>
        </w:rPr>
        <w:t>тыс</w:t>
      </w:r>
      <w:proofErr w:type="gramStart"/>
      <w:r w:rsidRPr="006E19B3">
        <w:rPr>
          <w:rFonts w:eastAsia="Calibri"/>
          <w:kern w:val="2"/>
          <w:lang w:eastAsia="en-US"/>
        </w:rPr>
        <w:t>.р</w:t>
      </w:r>
      <w:proofErr w:type="gramEnd"/>
      <w:r w:rsidRPr="006E19B3">
        <w:rPr>
          <w:rFonts w:eastAsia="Calibri"/>
          <w:kern w:val="2"/>
          <w:lang w:eastAsia="en-US"/>
        </w:rPr>
        <w:t>уб</w:t>
      </w:r>
      <w:proofErr w:type="spellEnd"/>
      <w:r w:rsidRPr="006E19B3">
        <w:rPr>
          <w:rFonts w:eastAsia="Calibri"/>
          <w:kern w:val="2"/>
          <w:lang w:eastAsia="en-US"/>
        </w:rPr>
        <w:t xml:space="preserve">. и предусмотрен объем привлекаемых бюджетных кредитов в сумме  24000 </w:t>
      </w:r>
      <w:proofErr w:type="spellStart"/>
      <w:r w:rsidRPr="006E19B3">
        <w:rPr>
          <w:rFonts w:eastAsia="Calibri"/>
          <w:kern w:val="2"/>
          <w:lang w:eastAsia="en-US"/>
        </w:rPr>
        <w:t>тыс.руб</w:t>
      </w:r>
      <w:proofErr w:type="spellEnd"/>
      <w:r w:rsidRPr="006E19B3">
        <w:rPr>
          <w:rFonts w:eastAsia="Calibri"/>
          <w:kern w:val="2"/>
          <w:lang w:eastAsia="en-US"/>
        </w:rPr>
        <w:t xml:space="preserve">. </w:t>
      </w:r>
      <w:r w:rsidRPr="003D3BCA">
        <w:rPr>
          <w:rFonts w:eastAsia="Calibri"/>
          <w:kern w:val="2"/>
          <w:lang w:eastAsia="en-US"/>
        </w:rPr>
        <w:t xml:space="preserve">На 2020 год и 2021 год в источниках внутреннего финансирования дефицита бюджета предусмотрено уменьшение объема привлекаемых коммерческих кредитов  на 24000 </w:t>
      </w:r>
      <w:proofErr w:type="spellStart"/>
      <w:r w:rsidRPr="003D3BCA">
        <w:rPr>
          <w:rFonts w:eastAsia="Calibri"/>
          <w:kern w:val="2"/>
          <w:lang w:eastAsia="en-US"/>
        </w:rPr>
        <w:t>тыс.руб</w:t>
      </w:r>
      <w:proofErr w:type="spellEnd"/>
      <w:r w:rsidRPr="003D3BCA">
        <w:rPr>
          <w:rFonts w:eastAsia="Calibri"/>
          <w:kern w:val="2"/>
          <w:lang w:eastAsia="en-US"/>
        </w:rPr>
        <w:t>.;</w:t>
      </w:r>
    </w:p>
    <w:p w:rsidR="006E19B3" w:rsidRPr="006E19B3" w:rsidRDefault="006E19B3" w:rsidP="006E19B3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E19B3">
        <w:rPr>
          <w:rFonts w:eastAsia="Calibri"/>
          <w:kern w:val="2"/>
          <w:lang w:eastAsia="en-US"/>
        </w:rPr>
        <w:t xml:space="preserve">- увеличивается объем межбюджетных трансфертов, получаемых из вышестоящих бюджетов - с </w:t>
      </w:r>
      <w:r w:rsidR="002F6ED9">
        <w:rPr>
          <w:rFonts w:eastAsia="Calibri"/>
          <w:kern w:val="2"/>
          <w:lang w:eastAsia="en-US"/>
        </w:rPr>
        <w:t>587215,00</w:t>
      </w:r>
      <w:r w:rsidRPr="006E19B3">
        <w:rPr>
          <w:rFonts w:eastAsia="Calibri"/>
          <w:kern w:val="2"/>
          <w:lang w:eastAsia="en-US"/>
        </w:rPr>
        <w:t xml:space="preserve"> </w:t>
      </w:r>
      <w:proofErr w:type="spellStart"/>
      <w:r w:rsidRPr="006E19B3">
        <w:rPr>
          <w:rFonts w:eastAsia="Calibri"/>
          <w:kern w:val="2"/>
          <w:lang w:eastAsia="en-US"/>
        </w:rPr>
        <w:t>тыс</w:t>
      </w:r>
      <w:proofErr w:type="gramStart"/>
      <w:r w:rsidRPr="006E19B3">
        <w:rPr>
          <w:rFonts w:eastAsia="Calibri"/>
          <w:kern w:val="2"/>
          <w:lang w:eastAsia="en-US"/>
        </w:rPr>
        <w:t>.р</w:t>
      </w:r>
      <w:proofErr w:type="gramEnd"/>
      <w:r w:rsidRPr="006E19B3">
        <w:rPr>
          <w:rFonts w:eastAsia="Calibri"/>
          <w:kern w:val="2"/>
          <w:lang w:eastAsia="en-US"/>
        </w:rPr>
        <w:t>уб</w:t>
      </w:r>
      <w:proofErr w:type="spellEnd"/>
      <w:r w:rsidRPr="006E19B3">
        <w:rPr>
          <w:rFonts w:eastAsia="Calibri"/>
          <w:kern w:val="2"/>
          <w:lang w:eastAsia="en-US"/>
        </w:rPr>
        <w:t xml:space="preserve">. до </w:t>
      </w:r>
      <w:r w:rsidR="002F6ED9">
        <w:rPr>
          <w:rFonts w:eastAsia="Calibri"/>
          <w:kern w:val="2"/>
          <w:lang w:eastAsia="en-US"/>
        </w:rPr>
        <w:t>598266,84</w:t>
      </w:r>
      <w:r w:rsidRPr="006E19B3">
        <w:rPr>
          <w:rFonts w:eastAsia="Calibri"/>
          <w:kern w:val="2"/>
          <w:lang w:eastAsia="en-US"/>
        </w:rPr>
        <w:t xml:space="preserve"> </w:t>
      </w:r>
      <w:proofErr w:type="spellStart"/>
      <w:r w:rsidRPr="006E19B3">
        <w:rPr>
          <w:rFonts w:eastAsia="Calibri"/>
          <w:kern w:val="2"/>
          <w:lang w:eastAsia="en-US"/>
        </w:rPr>
        <w:t>тыс.руб</w:t>
      </w:r>
      <w:proofErr w:type="spellEnd"/>
      <w:r w:rsidRPr="006E19B3">
        <w:rPr>
          <w:rFonts w:eastAsia="Calibri"/>
          <w:kern w:val="2"/>
          <w:lang w:eastAsia="en-US"/>
        </w:rPr>
        <w:t xml:space="preserve">. или на сумму </w:t>
      </w:r>
      <w:r w:rsidR="00B121F2">
        <w:rPr>
          <w:rFonts w:eastAsia="Calibri"/>
          <w:kern w:val="2"/>
          <w:lang w:eastAsia="en-US"/>
        </w:rPr>
        <w:t>11051,84</w:t>
      </w:r>
      <w:r w:rsidRPr="006E19B3">
        <w:rPr>
          <w:rFonts w:eastAsia="Calibri"/>
          <w:kern w:val="2"/>
          <w:lang w:eastAsia="en-US"/>
        </w:rPr>
        <w:t xml:space="preserve"> </w:t>
      </w:r>
      <w:r w:rsidR="002F6ED9">
        <w:rPr>
          <w:rFonts w:eastAsia="Calibri"/>
          <w:kern w:val="2"/>
          <w:lang w:eastAsia="en-US"/>
        </w:rPr>
        <w:t>тыс. руб.</w:t>
      </w:r>
      <w:r w:rsidRPr="006E19B3">
        <w:rPr>
          <w:rFonts w:eastAsia="Calibri"/>
          <w:kern w:val="2"/>
          <w:lang w:eastAsia="en-US"/>
        </w:rPr>
        <w:t xml:space="preserve"> (</w:t>
      </w:r>
      <w:r w:rsidR="00B121F2">
        <w:rPr>
          <w:rFonts w:eastAsia="Calibri"/>
          <w:kern w:val="2"/>
          <w:lang w:eastAsia="en-US"/>
        </w:rPr>
        <w:t>1</w:t>
      </w:r>
      <w:r w:rsidR="002F6ED9">
        <w:rPr>
          <w:rFonts w:eastAsia="Calibri"/>
          <w:kern w:val="2"/>
          <w:lang w:eastAsia="en-US"/>
        </w:rPr>
        <w:t>,9</w:t>
      </w:r>
      <w:r w:rsidRPr="006E19B3">
        <w:rPr>
          <w:rFonts w:eastAsia="Calibri"/>
          <w:kern w:val="2"/>
          <w:lang w:eastAsia="en-US"/>
        </w:rPr>
        <w:t>%);</w:t>
      </w:r>
    </w:p>
    <w:p w:rsidR="002F6ED9" w:rsidRDefault="006E19B3" w:rsidP="006E19B3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E19B3">
        <w:rPr>
          <w:rFonts w:eastAsia="Calibri"/>
          <w:kern w:val="2"/>
          <w:lang w:eastAsia="en-US"/>
        </w:rPr>
        <w:lastRenderedPageBreak/>
        <w:t xml:space="preserve">- </w:t>
      </w:r>
      <w:r w:rsidR="002F6ED9">
        <w:rPr>
          <w:rFonts w:eastAsia="Calibri"/>
          <w:kern w:val="2"/>
          <w:lang w:eastAsia="en-US"/>
        </w:rPr>
        <w:t xml:space="preserve">вносятся изменения на 2019 год в </w:t>
      </w:r>
      <w:r w:rsidRPr="006E19B3">
        <w:rPr>
          <w:rFonts w:eastAsia="Calibri"/>
          <w:kern w:val="2"/>
          <w:lang w:eastAsia="en-US"/>
        </w:rPr>
        <w:t>объем</w:t>
      </w:r>
      <w:r w:rsidR="002F6ED9">
        <w:rPr>
          <w:rFonts w:eastAsia="Calibri"/>
          <w:kern w:val="2"/>
          <w:lang w:eastAsia="en-US"/>
        </w:rPr>
        <w:t>ы</w:t>
      </w:r>
      <w:r w:rsidRPr="006E19B3">
        <w:rPr>
          <w:rFonts w:eastAsia="Calibri"/>
          <w:kern w:val="2"/>
          <w:lang w:eastAsia="en-US"/>
        </w:rPr>
        <w:t xml:space="preserve"> бюджетных ассигнований дорожного фонда Лесозаводского городского округа </w:t>
      </w:r>
      <w:r w:rsidR="002F6ED9" w:rsidRPr="002F6ED9">
        <w:rPr>
          <w:rFonts w:eastAsia="Calibri"/>
          <w:kern w:val="2"/>
          <w:lang w:eastAsia="en-US"/>
        </w:rPr>
        <w:t>без изменений общего объёма (35691,3 тыс. руб.).</w:t>
      </w:r>
    </w:p>
    <w:p w:rsidR="006E19B3" w:rsidRDefault="006E19B3" w:rsidP="006E19B3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E19B3">
        <w:rPr>
          <w:rFonts w:eastAsia="Calibri"/>
          <w:kern w:val="2"/>
          <w:lang w:eastAsia="en-US"/>
        </w:rPr>
        <w:t xml:space="preserve">Прогнозируемый дефицит бюджета (24184 тыс. руб.), а также иные характеристики бюджета: предельный объем муниципального внутреннего долга (240000 тыс. руб.), предельный объем расходов на обслуживание муниципального внутреннего долга (12306 </w:t>
      </w:r>
      <w:proofErr w:type="spellStart"/>
      <w:r w:rsidRPr="006E19B3">
        <w:rPr>
          <w:rFonts w:eastAsia="Calibri"/>
          <w:kern w:val="2"/>
          <w:lang w:eastAsia="en-US"/>
        </w:rPr>
        <w:t>тыс</w:t>
      </w:r>
      <w:proofErr w:type="gramStart"/>
      <w:r w:rsidRPr="006E19B3">
        <w:rPr>
          <w:rFonts w:eastAsia="Calibri"/>
          <w:kern w:val="2"/>
          <w:lang w:eastAsia="en-US"/>
        </w:rPr>
        <w:t>.р</w:t>
      </w:r>
      <w:proofErr w:type="gramEnd"/>
      <w:r w:rsidRPr="006E19B3">
        <w:rPr>
          <w:rFonts w:eastAsia="Calibri"/>
          <w:kern w:val="2"/>
          <w:lang w:eastAsia="en-US"/>
        </w:rPr>
        <w:t>уб</w:t>
      </w:r>
      <w:proofErr w:type="spellEnd"/>
      <w:r w:rsidRPr="006E19B3">
        <w:rPr>
          <w:rFonts w:eastAsia="Calibri"/>
          <w:kern w:val="2"/>
          <w:lang w:eastAsia="en-US"/>
        </w:rPr>
        <w:t>.) - остаются без изменений.</w:t>
      </w:r>
    </w:p>
    <w:p w:rsidR="00DF66FD" w:rsidRPr="000B7823" w:rsidRDefault="00DF66FD" w:rsidP="004C777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4D2307" w:rsidRPr="004D2307" w:rsidRDefault="004D2307" w:rsidP="004D2307">
      <w:pPr>
        <w:numPr>
          <w:ilvl w:val="0"/>
          <w:numId w:val="36"/>
        </w:numPr>
        <w:autoSpaceDE w:val="0"/>
        <w:autoSpaceDN w:val="0"/>
        <w:adjustRightInd w:val="0"/>
        <w:contextualSpacing/>
        <w:jc w:val="center"/>
        <w:rPr>
          <w:b/>
        </w:rPr>
      </w:pPr>
      <w:r w:rsidRPr="004D2307">
        <w:rPr>
          <w:rFonts w:eastAsiaTheme="minorHAnsi"/>
          <w:b/>
          <w:bCs/>
          <w:lang w:eastAsia="en-US"/>
        </w:rPr>
        <w:t>Анализ изменений, вносимых в доходную часть бюджета</w:t>
      </w:r>
      <w:r w:rsidRPr="004D2307">
        <w:rPr>
          <w:b/>
        </w:rPr>
        <w:t xml:space="preserve"> Лесозаводского городского округа</w:t>
      </w:r>
    </w:p>
    <w:p w:rsidR="004D2307" w:rsidRPr="000B7823" w:rsidRDefault="004D2307" w:rsidP="004D230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CD70DB" w:rsidRDefault="00CD70DB" w:rsidP="003D3BCA">
      <w:pPr>
        <w:ind w:firstLine="360"/>
        <w:jc w:val="both"/>
        <w:rPr>
          <w:rFonts w:eastAsia="Calibri"/>
          <w:kern w:val="2"/>
          <w:lang w:eastAsia="en-US"/>
        </w:rPr>
      </w:pPr>
      <w:r w:rsidRPr="00CD70DB">
        <w:rPr>
          <w:rFonts w:eastAsia="Calibri"/>
          <w:kern w:val="2"/>
          <w:lang w:eastAsia="en-US"/>
        </w:rPr>
        <w:t>На 201</w:t>
      </w:r>
      <w:r w:rsidR="00EF35F9">
        <w:rPr>
          <w:rFonts w:eastAsia="Calibri"/>
          <w:kern w:val="2"/>
          <w:lang w:eastAsia="en-US"/>
        </w:rPr>
        <w:t>9</w:t>
      </w:r>
      <w:r w:rsidRPr="00CD70DB">
        <w:rPr>
          <w:rFonts w:eastAsia="Calibri"/>
          <w:kern w:val="2"/>
          <w:lang w:eastAsia="en-US"/>
        </w:rPr>
        <w:t xml:space="preserve"> год проектом решения предлагается увеличить доходную часть бюджета на сумму </w:t>
      </w:r>
      <w:r>
        <w:rPr>
          <w:rFonts w:eastAsia="Calibri"/>
          <w:kern w:val="2"/>
          <w:lang w:eastAsia="en-US"/>
        </w:rPr>
        <w:t>11051,84</w:t>
      </w:r>
      <w:r w:rsidRPr="00CD70DB">
        <w:rPr>
          <w:rFonts w:eastAsia="Calibri"/>
          <w:kern w:val="2"/>
          <w:lang w:eastAsia="en-US"/>
        </w:rPr>
        <w:t xml:space="preserve"> тыс. руб. за счет увеличения </w:t>
      </w:r>
      <w:r>
        <w:rPr>
          <w:rFonts w:eastAsia="Calibri"/>
          <w:kern w:val="2"/>
          <w:lang w:eastAsia="en-US"/>
        </w:rPr>
        <w:t xml:space="preserve">объема </w:t>
      </w:r>
      <w:r w:rsidR="004355E5">
        <w:rPr>
          <w:rFonts w:eastAsia="Calibri"/>
          <w:kern w:val="2"/>
          <w:lang w:eastAsia="en-US"/>
        </w:rPr>
        <w:t>межбюджетных трансфертов, выделяемых из сре</w:t>
      </w:r>
      <w:proofErr w:type="gramStart"/>
      <w:r w:rsidR="004355E5">
        <w:rPr>
          <w:rFonts w:eastAsia="Calibri"/>
          <w:kern w:val="2"/>
          <w:lang w:eastAsia="en-US"/>
        </w:rPr>
        <w:t>дств кр</w:t>
      </w:r>
      <w:proofErr w:type="gramEnd"/>
      <w:r w:rsidR="004355E5">
        <w:rPr>
          <w:rFonts w:eastAsia="Calibri"/>
          <w:kern w:val="2"/>
          <w:lang w:eastAsia="en-US"/>
        </w:rPr>
        <w:t>аевого бюджета</w:t>
      </w:r>
      <w:r w:rsidR="004355E5" w:rsidRPr="004355E5">
        <w:rPr>
          <w:rFonts w:eastAsia="Calibri"/>
          <w:kern w:val="2"/>
          <w:lang w:eastAsia="en-US"/>
        </w:rPr>
        <w:t>:</w:t>
      </w:r>
      <w:r w:rsidRPr="00CD70DB">
        <w:rPr>
          <w:rFonts w:eastAsia="Calibri"/>
          <w:kern w:val="2"/>
          <w:lang w:eastAsia="en-US"/>
        </w:rPr>
        <w:t xml:space="preserve"> </w:t>
      </w:r>
    </w:p>
    <w:p w:rsidR="004355E5" w:rsidRPr="00B34361" w:rsidRDefault="007D378A" w:rsidP="004355E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4355E5">
        <w:t>6769 тыс. руб.- увеличена дотация на поддержку мер по обеспечению сбалансированности бюджетов в соответствии с постановление администрации Приморского края от 29.05.2019 №309-па</w:t>
      </w:r>
      <w:r w:rsidR="004355E5" w:rsidRPr="00B34361">
        <w:t>;</w:t>
      </w:r>
    </w:p>
    <w:p w:rsidR="007D378A" w:rsidRPr="00B34361" w:rsidRDefault="004355E5" w:rsidP="007D378A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ab/>
        <w:t xml:space="preserve">- 6411,99 тыс. руб. – увеличены субсидии на </w:t>
      </w:r>
      <w:r w:rsidR="007D378A" w:rsidRPr="007D378A">
        <w:rPr>
          <w:rFonts w:eastAsia="Calibri"/>
          <w:kern w:val="2"/>
          <w:lang w:eastAsia="en-US"/>
        </w:rPr>
        <w:t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</w:t>
      </w:r>
      <w:r w:rsidR="007D378A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(</w:t>
      </w:r>
      <w:r w:rsidR="00B34361">
        <w:rPr>
          <w:rFonts w:eastAsia="Calibri"/>
          <w:kern w:val="2"/>
          <w:lang w:eastAsia="en-US"/>
        </w:rPr>
        <w:t>постановление администрации Приморского края от 16.04.2019 №233-па</w:t>
      </w:r>
      <w:r>
        <w:rPr>
          <w:rFonts w:eastAsia="Calibri"/>
          <w:kern w:val="2"/>
          <w:lang w:eastAsia="en-US"/>
        </w:rPr>
        <w:t>)</w:t>
      </w:r>
      <w:r w:rsidR="00B34361" w:rsidRPr="00B34361">
        <w:rPr>
          <w:rFonts w:eastAsia="Calibri"/>
          <w:kern w:val="2"/>
          <w:lang w:eastAsia="en-US"/>
        </w:rPr>
        <w:t>;</w:t>
      </w:r>
    </w:p>
    <w:p w:rsidR="007D378A" w:rsidRPr="00B34361" w:rsidRDefault="00B34361" w:rsidP="00B3436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4355E5">
        <w:rPr>
          <w:rFonts w:eastAsia="Calibri"/>
          <w:kern w:val="2"/>
          <w:lang w:eastAsia="en-US"/>
        </w:rPr>
        <w:t xml:space="preserve">916,59 тыс. руб. </w:t>
      </w:r>
      <w:r w:rsidR="001E73CB">
        <w:rPr>
          <w:rFonts w:eastAsia="Calibri"/>
          <w:kern w:val="2"/>
          <w:lang w:eastAsia="en-US"/>
        </w:rPr>
        <w:t xml:space="preserve">– увеличение субсидии </w:t>
      </w:r>
      <w:r w:rsidR="007D378A" w:rsidRPr="007D378A">
        <w:rPr>
          <w:rFonts w:eastAsia="Calibri"/>
          <w:kern w:val="2"/>
          <w:lang w:eastAsia="en-US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B34361">
        <w:rPr>
          <w:rFonts w:eastAsia="Calibri"/>
          <w:kern w:val="2"/>
          <w:lang w:eastAsia="en-US"/>
        </w:rPr>
        <w:t>;</w:t>
      </w:r>
    </w:p>
    <w:p w:rsidR="007D378A" w:rsidRPr="00496B20" w:rsidRDefault="00B34361" w:rsidP="007D378A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ab/>
      </w:r>
      <w:r w:rsidR="007D378A" w:rsidRPr="007D378A">
        <w:rPr>
          <w:rFonts w:eastAsia="Calibri"/>
          <w:kern w:val="2"/>
          <w:lang w:eastAsia="en-US"/>
        </w:rPr>
        <w:t xml:space="preserve">- </w:t>
      </w:r>
      <w:r w:rsidR="001E73CB">
        <w:rPr>
          <w:rFonts w:eastAsia="Calibri"/>
          <w:kern w:val="2"/>
          <w:lang w:eastAsia="en-US"/>
        </w:rPr>
        <w:t xml:space="preserve">6844,23 тыс. руб. – увеличение субсидии </w:t>
      </w:r>
      <w:r w:rsidR="007D378A" w:rsidRPr="007D378A">
        <w:rPr>
          <w:rFonts w:eastAsia="Calibri"/>
          <w:kern w:val="2"/>
          <w:lang w:eastAsia="en-US"/>
        </w:rPr>
        <w:t>на капитальный  ремонт зданий муниципальных общеобразовательных учреждений</w:t>
      </w:r>
      <w:r w:rsidR="00496B20" w:rsidRPr="00496B20">
        <w:rPr>
          <w:rFonts w:eastAsia="Calibri"/>
          <w:kern w:val="2"/>
          <w:lang w:eastAsia="en-US"/>
        </w:rPr>
        <w:t>;</w:t>
      </w:r>
    </w:p>
    <w:p w:rsidR="007D378A" w:rsidRPr="00496B20" w:rsidRDefault="007D378A" w:rsidP="00496B2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7D378A">
        <w:rPr>
          <w:rFonts w:eastAsia="Calibri"/>
          <w:kern w:val="2"/>
          <w:lang w:eastAsia="en-US"/>
        </w:rPr>
        <w:t xml:space="preserve"> - </w:t>
      </w:r>
      <w:r w:rsidR="001E73CB">
        <w:rPr>
          <w:rFonts w:eastAsia="Calibri"/>
          <w:kern w:val="2"/>
          <w:lang w:eastAsia="en-US"/>
        </w:rPr>
        <w:t xml:space="preserve">3078,82 тыс. руб. – увеличение субсидии </w:t>
      </w:r>
      <w:r w:rsidRPr="007D378A">
        <w:rPr>
          <w:rFonts w:eastAsia="Calibri"/>
          <w:kern w:val="2"/>
          <w:lang w:eastAsia="en-US"/>
        </w:rPr>
        <w:t>за счет финансового резерва для ликвидации чрезвычайных ситуаций в Приморском крае</w:t>
      </w:r>
      <w:r w:rsidR="001F029C">
        <w:rPr>
          <w:rFonts w:eastAsia="Calibri"/>
          <w:kern w:val="2"/>
          <w:lang w:eastAsia="en-US"/>
        </w:rPr>
        <w:t xml:space="preserve"> в соответствии с распоряжением администрации Приморского края от 05.04.2019 №198-ра</w:t>
      </w:r>
      <w:r w:rsidR="00496B20" w:rsidRPr="00496B20">
        <w:rPr>
          <w:rFonts w:eastAsia="Calibri"/>
          <w:kern w:val="2"/>
          <w:lang w:eastAsia="en-US"/>
        </w:rPr>
        <w:t>;</w:t>
      </w:r>
    </w:p>
    <w:p w:rsidR="007D378A" w:rsidRPr="00496B20" w:rsidRDefault="007D378A" w:rsidP="00496B2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7D378A">
        <w:rPr>
          <w:rFonts w:eastAsia="Calibri"/>
          <w:kern w:val="2"/>
          <w:lang w:eastAsia="en-US"/>
        </w:rPr>
        <w:t xml:space="preserve">- </w:t>
      </w:r>
      <w:r w:rsidR="001E73CB">
        <w:rPr>
          <w:rFonts w:eastAsia="Calibri"/>
          <w:kern w:val="2"/>
          <w:lang w:eastAsia="en-US"/>
        </w:rPr>
        <w:t xml:space="preserve">1309,56 тыс. руб. – увеличение субсидии </w:t>
      </w:r>
      <w:r w:rsidRPr="007D378A">
        <w:rPr>
          <w:rFonts w:eastAsia="Calibri"/>
          <w:kern w:val="2"/>
          <w:lang w:eastAsia="en-US"/>
        </w:rPr>
        <w:t>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</w:t>
      </w:r>
      <w:r w:rsidR="00496B20" w:rsidRPr="00496B20">
        <w:rPr>
          <w:rFonts w:eastAsia="Calibri"/>
          <w:kern w:val="2"/>
          <w:lang w:eastAsia="en-US"/>
        </w:rPr>
        <w:t xml:space="preserve"> </w:t>
      </w:r>
      <w:r w:rsidR="00DA3591">
        <w:rPr>
          <w:rFonts w:eastAsia="Calibri"/>
          <w:kern w:val="2"/>
          <w:lang w:eastAsia="en-US"/>
        </w:rPr>
        <w:t>в соответствии с постановлением администрации Приморского края от 22.05.2019 №293-па</w:t>
      </w:r>
      <w:r w:rsidR="00496B20" w:rsidRPr="00496B20">
        <w:rPr>
          <w:rFonts w:eastAsia="Calibri"/>
          <w:kern w:val="2"/>
          <w:lang w:eastAsia="en-US"/>
        </w:rPr>
        <w:t>;</w:t>
      </w:r>
    </w:p>
    <w:p w:rsidR="007D378A" w:rsidRPr="00DF34F1" w:rsidRDefault="007D378A" w:rsidP="00496B20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proofErr w:type="gramStart"/>
      <w:r w:rsidRPr="007D378A">
        <w:rPr>
          <w:rFonts w:eastAsia="Calibri"/>
          <w:kern w:val="2"/>
          <w:lang w:eastAsia="en-US"/>
        </w:rPr>
        <w:t xml:space="preserve">- </w:t>
      </w:r>
      <w:r w:rsidR="001E73CB">
        <w:rPr>
          <w:rFonts w:eastAsia="Calibri"/>
          <w:kern w:val="2"/>
          <w:lang w:eastAsia="en-US"/>
        </w:rPr>
        <w:t>20000</w:t>
      </w:r>
      <w:r w:rsidR="00E92781">
        <w:rPr>
          <w:rFonts w:eastAsia="Calibri"/>
          <w:kern w:val="2"/>
          <w:lang w:eastAsia="en-US"/>
        </w:rPr>
        <w:t>,0</w:t>
      </w:r>
      <w:r w:rsidR="001E73CB">
        <w:rPr>
          <w:rFonts w:eastAsia="Calibri"/>
          <w:kern w:val="2"/>
          <w:lang w:eastAsia="en-US"/>
        </w:rPr>
        <w:t xml:space="preserve"> тыс. руб. – уменьшение (исключение) субсидии </w:t>
      </w:r>
      <w:r w:rsidRPr="007D378A">
        <w:rPr>
          <w:rFonts w:eastAsia="Calibri"/>
          <w:kern w:val="2"/>
          <w:lang w:eastAsia="en-US"/>
        </w:rPr>
        <w:t>на строительство, реконструкцию, ремонт объектов культуры (в том числе, проектно-изыскательские работы)</w:t>
      </w:r>
      <w:r w:rsidR="00DF34F1" w:rsidRPr="00DF34F1">
        <w:rPr>
          <w:rFonts w:eastAsia="Calibri"/>
          <w:kern w:val="2"/>
          <w:lang w:eastAsia="en-US"/>
        </w:rPr>
        <w:t>;</w:t>
      </w:r>
      <w:proofErr w:type="gramEnd"/>
    </w:p>
    <w:p w:rsidR="00496B20" w:rsidRDefault="00496B20" w:rsidP="00DF34F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DF34F1" w:rsidRPr="00DF34F1">
        <w:rPr>
          <w:rFonts w:eastAsia="Calibri"/>
          <w:kern w:val="2"/>
          <w:lang w:eastAsia="en-US"/>
        </w:rPr>
        <w:t>5721</w:t>
      </w:r>
      <w:r w:rsidR="00E92781">
        <w:rPr>
          <w:rFonts w:eastAsia="Calibri"/>
          <w:kern w:val="2"/>
          <w:lang w:eastAsia="en-US"/>
        </w:rPr>
        <w:t>,</w:t>
      </w:r>
      <w:r w:rsidR="00DF34F1" w:rsidRPr="00DF34F1">
        <w:rPr>
          <w:rFonts w:eastAsia="Calibri"/>
          <w:kern w:val="2"/>
          <w:lang w:eastAsia="en-US"/>
        </w:rPr>
        <w:t xml:space="preserve">65 </w:t>
      </w:r>
      <w:r w:rsidR="00DF34F1">
        <w:rPr>
          <w:rFonts w:eastAsia="Calibri"/>
          <w:kern w:val="2"/>
          <w:lang w:eastAsia="en-US"/>
        </w:rPr>
        <w:t xml:space="preserve">тыс. руб. – увеличение </w:t>
      </w:r>
      <w:r w:rsidR="00DF34F1" w:rsidRPr="00C45F7D">
        <w:rPr>
          <w:rFonts w:eastAsia="Calibri"/>
          <w:kern w:val="2"/>
          <w:lang w:eastAsia="en-US"/>
        </w:rPr>
        <w:t>с</w:t>
      </w:r>
      <w:r w:rsidR="007D378A" w:rsidRPr="00C45F7D">
        <w:rPr>
          <w:rFonts w:eastAsia="Calibri"/>
          <w:kern w:val="2"/>
          <w:lang w:eastAsia="en-US"/>
        </w:rPr>
        <w:t>убвенции н</w:t>
      </w:r>
      <w:r w:rsidR="007D378A" w:rsidRPr="007D378A">
        <w:rPr>
          <w:rFonts w:eastAsia="Calibri"/>
          <w:kern w:val="2"/>
          <w:lang w:eastAsia="en-US"/>
        </w:rPr>
        <w:t>а выполнение передаваемых полномочий субъектов Российской Федерации 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>
        <w:rPr>
          <w:rFonts w:eastAsia="Calibri"/>
          <w:kern w:val="2"/>
          <w:lang w:eastAsia="en-US"/>
        </w:rPr>
        <w:t>.</w:t>
      </w:r>
    </w:p>
    <w:p w:rsidR="00496B20" w:rsidRPr="000B7823" w:rsidRDefault="00496B20" w:rsidP="007D378A">
      <w:pPr>
        <w:autoSpaceDE w:val="0"/>
        <w:autoSpaceDN w:val="0"/>
        <w:adjustRightInd w:val="0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4D2307" w:rsidRPr="00065CD8" w:rsidRDefault="004D2307" w:rsidP="00065CD8">
      <w:pPr>
        <w:pStyle w:val="ae"/>
        <w:numPr>
          <w:ilvl w:val="0"/>
          <w:numId w:val="36"/>
        </w:numPr>
        <w:jc w:val="center"/>
        <w:rPr>
          <w:b/>
        </w:rPr>
      </w:pPr>
      <w:r w:rsidRPr="00065CD8">
        <w:rPr>
          <w:rFonts w:eastAsiaTheme="minorHAnsi"/>
          <w:b/>
          <w:bCs/>
          <w:lang w:eastAsia="en-US"/>
        </w:rPr>
        <w:t>Анализ изменений, вносимых в расходную часть</w:t>
      </w:r>
      <w:r w:rsidRPr="00065CD8">
        <w:rPr>
          <w:b/>
        </w:rPr>
        <w:t xml:space="preserve"> бюджета Лесозаводского городского округа</w:t>
      </w:r>
    </w:p>
    <w:p w:rsidR="002C5C21" w:rsidRPr="000B7823" w:rsidRDefault="002C5C21" w:rsidP="004D2307">
      <w:pPr>
        <w:jc w:val="both"/>
        <w:rPr>
          <w:rFonts w:eastAsiaTheme="minorHAnsi"/>
          <w:sz w:val="16"/>
          <w:szCs w:val="16"/>
          <w:lang w:eastAsia="en-US"/>
        </w:rPr>
      </w:pPr>
    </w:p>
    <w:p w:rsidR="004D2307" w:rsidRDefault="004D2307" w:rsidP="004D2307">
      <w:pPr>
        <w:jc w:val="both"/>
        <w:rPr>
          <w:rFonts w:eastAsiaTheme="minorHAnsi"/>
          <w:lang w:eastAsia="en-US"/>
        </w:rPr>
      </w:pPr>
      <w:r w:rsidRPr="004D2307">
        <w:rPr>
          <w:rFonts w:eastAsiaTheme="minorHAnsi"/>
          <w:sz w:val="28"/>
          <w:szCs w:val="28"/>
          <w:lang w:eastAsia="en-US"/>
        </w:rPr>
        <w:t xml:space="preserve">     </w:t>
      </w:r>
      <w:r w:rsidRPr="004D2307">
        <w:rPr>
          <w:rFonts w:eastAsiaTheme="minorHAnsi"/>
          <w:lang w:eastAsia="en-US"/>
        </w:rPr>
        <w:t xml:space="preserve"> </w:t>
      </w:r>
      <w:r w:rsidR="00C602AE">
        <w:rPr>
          <w:rFonts w:eastAsiaTheme="minorHAnsi"/>
          <w:lang w:eastAsia="en-US"/>
        </w:rPr>
        <w:t>П</w:t>
      </w:r>
      <w:r w:rsidRPr="004D2307">
        <w:rPr>
          <w:rFonts w:eastAsia="Calibri"/>
          <w:lang w:eastAsia="en-US"/>
        </w:rPr>
        <w:t>роект</w:t>
      </w:r>
      <w:r w:rsidR="00C602AE">
        <w:rPr>
          <w:rFonts w:eastAsia="Calibri"/>
          <w:lang w:eastAsia="en-US"/>
        </w:rPr>
        <w:t>ом</w:t>
      </w:r>
      <w:r w:rsidRPr="004D2307">
        <w:rPr>
          <w:rFonts w:eastAsia="Calibri"/>
          <w:lang w:eastAsia="en-US"/>
        </w:rPr>
        <w:t xml:space="preserve"> решения </w:t>
      </w:r>
      <w:r w:rsidR="002C5C21">
        <w:rPr>
          <w:rFonts w:eastAsia="Calibri"/>
          <w:lang w:eastAsia="en-US"/>
        </w:rPr>
        <w:t>на 201</w:t>
      </w:r>
      <w:r w:rsidR="00107205">
        <w:rPr>
          <w:rFonts w:eastAsia="Calibri"/>
          <w:lang w:eastAsia="en-US"/>
        </w:rPr>
        <w:t>9</w:t>
      </w:r>
      <w:r w:rsidR="002C5C21">
        <w:rPr>
          <w:rFonts w:eastAsia="Calibri"/>
          <w:lang w:eastAsia="en-US"/>
        </w:rPr>
        <w:t xml:space="preserve"> год </w:t>
      </w:r>
      <w:r w:rsidR="00C602AE">
        <w:rPr>
          <w:rFonts w:eastAsia="Calibri"/>
          <w:lang w:eastAsia="en-US"/>
        </w:rPr>
        <w:t xml:space="preserve">увеличиваются </w:t>
      </w:r>
      <w:r w:rsidRPr="004D2307">
        <w:rPr>
          <w:rFonts w:eastAsia="Calibri"/>
          <w:lang w:eastAsia="en-US"/>
        </w:rPr>
        <w:t xml:space="preserve">расходы </w:t>
      </w:r>
      <w:r w:rsidR="00C602AE">
        <w:rPr>
          <w:rFonts w:eastAsia="Calibri"/>
          <w:lang w:eastAsia="en-US"/>
        </w:rPr>
        <w:t xml:space="preserve">на </w:t>
      </w:r>
      <w:r w:rsidR="002C5C21">
        <w:rPr>
          <w:rFonts w:eastAsia="Calibri"/>
          <w:lang w:eastAsia="en-US"/>
        </w:rPr>
        <w:t xml:space="preserve">сумму </w:t>
      </w:r>
      <w:r w:rsidR="00107205">
        <w:rPr>
          <w:rFonts w:eastAsia="Calibri"/>
          <w:lang w:eastAsia="en-US"/>
        </w:rPr>
        <w:t>11051,84</w:t>
      </w:r>
      <w:r w:rsidR="0011646A">
        <w:rPr>
          <w:rFonts w:eastAsia="Calibri"/>
          <w:lang w:eastAsia="en-US"/>
        </w:rPr>
        <w:t xml:space="preserve"> тыс. руб. и </w:t>
      </w:r>
      <w:r w:rsidRPr="004D2307">
        <w:rPr>
          <w:rFonts w:eastAsia="Calibri"/>
          <w:lang w:eastAsia="en-US"/>
        </w:rPr>
        <w:t xml:space="preserve">составят </w:t>
      </w:r>
      <w:r w:rsidR="004D4321">
        <w:rPr>
          <w:rFonts w:eastAsia="Calibri"/>
          <w:lang w:eastAsia="en-US"/>
        </w:rPr>
        <w:t>1118526</w:t>
      </w:r>
      <w:r w:rsidRPr="004D2307">
        <w:rPr>
          <w:rFonts w:eastAsia="Calibri"/>
          <w:lang w:eastAsia="en-US"/>
        </w:rPr>
        <w:t>,</w:t>
      </w:r>
      <w:r w:rsidR="004D4321">
        <w:rPr>
          <w:rFonts w:eastAsia="Calibri"/>
          <w:lang w:eastAsia="en-US"/>
        </w:rPr>
        <w:t>84</w:t>
      </w:r>
      <w:r w:rsidRPr="004D2307">
        <w:rPr>
          <w:rFonts w:eastAsia="Calibri"/>
          <w:lang w:eastAsia="en-US"/>
        </w:rPr>
        <w:t xml:space="preserve"> тыс. руб., </w:t>
      </w:r>
      <w:r w:rsidRPr="004D2307">
        <w:rPr>
          <w:rFonts w:eastAsiaTheme="minorHAnsi"/>
          <w:lang w:eastAsia="en-US"/>
        </w:rPr>
        <w:t>в том числе</w:t>
      </w:r>
      <w:r w:rsidR="0011646A">
        <w:rPr>
          <w:rFonts w:eastAsiaTheme="minorHAnsi"/>
          <w:lang w:eastAsia="en-US"/>
        </w:rPr>
        <w:t xml:space="preserve"> по главным распорядителям бюджетных средств</w:t>
      </w:r>
      <w:r w:rsidRPr="004D2307">
        <w:rPr>
          <w:rFonts w:eastAsiaTheme="minorHAnsi"/>
          <w:lang w:eastAsia="en-US"/>
        </w:rPr>
        <w:t>:</w:t>
      </w:r>
    </w:p>
    <w:p w:rsidR="003403D3" w:rsidRPr="004D4321" w:rsidRDefault="004D4321" w:rsidP="004D2307">
      <w:pPr>
        <w:jc w:val="both"/>
        <w:rPr>
          <w:rFonts w:eastAsiaTheme="minorHAnsi"/>
          <w:sz w:val="20"/>
          <w:szCs w:val="20"/>
          <w:lang w:eastAsia="en-US"/>
        </w:rPr>
      </w:pPr>
      <w:r w:rsidRPr="004D4321">
        <w:rPr>
          <w:rFonts w:eastAsiaTheme="minorHAnsi"/>
          <w:sz w:val="20"/>
          <w:szCs w:val="20"/>
          <w:lang w:eastAsia="en-US"/>
        </w:rPr>
        <w:t xml:space="preserve">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</w:t>
      </w:r>
      <w:r w:rsidRPr="004D4321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(</w:t>
      </w:r>
      <w:proofErr w:type="spellStart"/>
      <w:r w:rsidRPr="004D4321">
        <w:rPr>
          <w:rFonts w:eastAsiaTheme="minorHAnsi"/>
          <w:sz w:val="20"/>
          <w:szCs w:val="20"/>
          <w:lang w:eastAsia="en-US"/>
        </w:rPr>
        <w:t>тыс.руб</w:t>
      </w:r>
      <w:proofErr w:type="spellEnd"/>
      <w:r w:rsidRPr="004D4321">
        <w:rPr>
          <w:rFonts w:eastAsiaTheme="minorHAnsi"/>
          <w:sz w:val="20"/>
          <w:szCs w:val="20"/>
          <w:lang w:eastAsia="en-US"/>
        </w:rPr>
        <w:t>.)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776"/>
        <w:gridCol w:w="1966"/>
        <w:gridCol w:w="1964"/>
        <w:gridCol w:w="1166"/>
        <w:gridCol w:w="981"/>
      </w:tblGrid>
      <w:tr w:rsidR="003403D3" w:rsidRPr="004D4321" w:rsidTr="00363CC8">
        <w:tc>
          <w:tcPr>
            <w:tcW w:w="3776" w:type="dxa"/>
            <w:vMerge w:val="restart"/>
          </w:tcPr>
          <w:p w:rsidR="003403D3" w:rsidRPr="004D4321" w:rsidRDefault="003403D3" w:rsidP="0037163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ГРБС</w:t>
            </w:r>
          </w:p>
        </w:tc>
        <w:tc>
          <w:tcPr>
            <w:tcW w:w="1966" w:type="dxa"/>
            <w:vMerge w:val="restart"/>
          </w:tcPr>
          <w:p w:rsidR="003403D3" w:rsidRPr="004D4321" w:rsidRDefault="003403D3" w:rsidP="0034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Утвержденный бюджет на 2019 год</w:t>
            </w:r>
          </w:p>
        </w:tc>
        <w:tc>
          <w:tcPr>
            <w:tcW w:w="1964" w:type="dxa"/>
            <w:vMerge w:val="restart"/>
          </w:tcPr>
          <w:p w:rsidR="003403D3" w:rsidRPr="004D4321" w:rsidRDefault="003403D3" w:rsidP="003403D3">
            <w:pPr>
              <w:suppressAutoHyphens/>
              <w:spacing w:line="276" w:lineRule="auto"/>
              <w:ind w:hanging="109"/>
              <w:rPr>
                <w:b/>
                <w:sz w:val="20"/>
                <w:szCs w:val="20"/>
              </w:rPr>
            </w:pPr>
            <w:r w:rsidRPr="004D4321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Проект решения</w:t>
            </w:r>
          </w:p>
          <w:p w:rsidR="003403D3" w:rsidRPr="004D4321" w:rsidRDefault="003403D3" w:rsidP="0034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:rsidR="003403D3" w:rsidRPr="004D4321" w:rsidRDefault="003403D3" w:rsidP="0034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b/>
                <w:sz w:val="20"/>
                <w:szCs w:val="20"/>
              </w:rPr>
              <w:t>Изменения</w:t>
            </w:r>
          </w:p>
        </w:tc>
      </w:tr>
      <w:tr w:rsidR="003403D3" w:rsidRPr="004D4321" w:rsidTr="00363CC8">
        <w:tc>
          <w:tcPr>
            <w:tcW w:w="3776" w:type="dxa"/>
            <w:vMerge/>
          </w:tcPr>
          <w:p w:rsidR="003403D3" w:rsidRPr="004D4321" w:rsidRDefault="003403D3" w:rsidP="003403D3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66" w:type="dxa"/>
            <w:vMerge/>
          </w:tcPr>
          <w:p w:rsidR="003403D3" w:rsidRPr="004D4321" w:rsidRDefault="003403D3" w:rsidP="003403D3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  <w:vMerge/>
          </w:tcPr>
          <w:p w:rsidR="003403D3" w:rsidRPr="004D4321" w:rsidRDefault="003403D3" w:rsidP="003403D3">
            <w:pPr>
              <w:suppressAutoHyphens/>
              <w:spacing w:line="276" w:lineRule="auto"/>
              <w:ind w:hanging="109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6" w:type="dxa"/>
          </w:tcPr>
          <w:p w:rsidR="003403D3" w:rsidRPr="004D4321" w:rsidRDefault="00371632" w:rsidP="0034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981" w:type="dxa"/>
          </w:tcPr>
          <w:p w:rsidR="003403D3" w:rsidRPr="004D4321" w:rsidRDefault="00371632" w:rsidP="0034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b/>
                <w:sz w:val="20"/>
                <w:szCs w:val="20"/>
              </w:rPr>
              <w:t>%</w:t>
            </w:r>
          </w:p>
        </w:tc>
      </w:tr>
      <w:tr w:rsidR="003403D3" w:rsidRPr="004D4321" w:rsidTr="00363CC8">
        <w:tc>
          <w:tcPr>
            <w:tcW w:w="3776" w:type="dxa"/>
          </w:tcPr>
          <w:p w:rsidR="003403D3" w:rsidRPr="004D4321" w:rsidRDefault="003403D3" w:rsidP="004D230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Администрация Лесозаводского городского округа</w:t>
            </w:r>
          </w:p>
        </w:tc>
        <w:tc>
          <w:tcPr>
            <w:tcW w:w="1966" w:type="dxa"/>
          </w:tcPr>
          <w:p w:rsidR="003403D3" w:rsidRPr="004D4321" w:rsidRDefault="00371632" w:rsidP="004D230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251982,32</w:t>
            </w:r>
          </w:p>
        </w:tc>
        <w:tc>
          <w:tcPr>
            <w:tcW w:w="1964" w:type="dxa"/>
          </w:tcPr>
          <w:p w:rsidR="003403D3" w:rsidRPr="004D4321" w:rsidRDefault="00363CC8" w:rsidP="004D230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240482,79</w:t>
            </w:r>
          </w:p>
        </w:tc>
        <w:tc>
          <w:tcPr>
            <w:tcW w:w="1166" w:type="dxa"/>
          </w:tcPr>
          <w:p w:rsidR="003403D3" w:rsidRPr="004D4321" w:rsidRDefault="00371632" w:rsidP="004D230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-11499,53</w:t>
            </w:r>
          </w:p>
        </w:tc>
        <w:tc>
          <w:tcPr>
            <w:tcW w:w="981" w:type="dxa"/>
          </w:tcPr>
          <w:p w:rsidR="003403D3" w:rsidRPr="004D4321" w:rsidRDefault="00E92781" w:rsidP="004D230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95,4</w:t>
            </w:r>
          </w:p>
        </w:tc>
      </w:tr>
      <w:tr w:rsidR="00371632" w:rsidRPr="004D4321" w:rsidTr="00363CC8">
        <w:tc>
          <w:tcPr>
            <w:tcW w:w="3776" w:type="dxa"/>
          </w:tcPr>
          <w:p w:rsidR="00371632" w:rsidRPr="004D4321" w:rsidRDefault="00371632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МКУ «Управление образования ЛГО»</w:t>
            </w:r>
          </w:p>
        </w:tc>
        <w:tc>
          <w:tcPr>
            <w:tcW w:w="1966" w:type="dxa"/>
          </w:tcPr>
          <w:p w:rsidR="00371632" w:rsidRPr="004D4321" w:rsidRDefault="00371632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690445,37</w:t>
            </w:r>
          </w:p>
        </w:tc>
        <w:tc>
          <w:tcPr>
            <w:tcW w:w="1964" w:type="dxa"/>
          </w:tcPr>
          <w:p w:rsidR="00371632" w:rsidRPr="004D4321" w:rsidRDefault="00363CC8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702628,61</w:t>
            </w:r>
          </w:p>
        </w:tc>
        <w:tc>
          <w:tcPr>
            <w:tcW w:w="1166" w:type="dxa"/>
          </w:tcPr>
          <w:p w:rsidR="00371632" w:rsidRPr="004D4321" w:rsidRDefault="00371632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+12183,24</w:t>
            </w:r>
          </w:p>
        </w:tc>
        <w:tc>
          <w:tcPr>
            <w:tcW w:w="981" w:type="dxa"/>
          </w:tcPr>
          <w:p w:rsidR="00371632" w:rsidRPr="004D4321" w:rsidRDefault="00E92781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101,8</w:t>
            </w:r>
          </w:p>
        </w:tc>
      </w:tr>
      <w:tr w:rsidR="00371632" w:rsidRPr="004D4321" w:rsidTr="00363CC8">
        <w:tc>
          <w:tcPr>
            <w:tcW w:w="3776" w:type="dxa"/>
          </w:tcPr>
          <w:p w:rsidR="00371632" w:rsidRPr="004D4321" w:rsidRDefault="00371632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МКУ «Управление культуры, молодежной политики и спорта ЛГО»</w:t>
            </w:r>
          </w:p>
        </w:tc>
        <w:tc>
          <w:tcPr>
            <w:tcW w:w="1966" w:type="dxa"/>
          </w:tcPr>
          <w:p w:rsidR="00371632" w:rsidRPr="004D4321" w:rsidRDefault="00371632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97495,68</w:t>
            </w:r>
          </w:p>
        </w:tc>
        <w:tc>
          <w:tcPr>
            <w:tcW w:w="1964" w:type="dxa"/>
          </w:tcPr>
          <w:p w:rsidR="00371632" w:rsidRPr="004D4321" w:rsidRDefault="00363CC8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107563,82</w:t>
            </w:r>
          </w:p>
        </w:tc>
        <w:tc>
          <w:tcPr>
            <w:tcW w:w="1166" w:type="dxa"/>
          </w:tcPr>
          <w:p w:rsidR="00371632" w:rsidRPr="004D4321" w:rsidRDefault="00371632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+10068,14</w:t>
            </w:r>
          </w:p>
        </w:tc>
        <w:tc>
          <w:tcPr>
            <w:tcW w:w="981" w:type="dxa"/>
          </w:tcPr>
          <w:p w:rsidR="00371632" w:rsidRPr="004D4321" w:rsidRDefault="00E92781" w:rsidP="0037163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110,3</w:t>
            </w:r>
          </w:p>
        </w:tc>
      </w:tr>
      <w:tr w:rsidR="00363CC8" w:rsidRPr="004D4321" w:rsidTr="00363CC8">
        <w:tc>
          <w:tcPr>
            <w:tcW w:w="377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МКУ «Хозяйственное управление администрации ЛГО»</w:t>
            </w:r>
          </w:p>
        </w:tc>
        <w:tc>
          <w:tcPr>
            <w:tcW w:w="19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25864,0</w:t>
            </w:r>
          </w:p>
        </w:tc>
        <w:tc>
          <w:tcPr>
            <w:tcW w:w="1964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25864,0</w:t>
            </w:r>
          </w:p>
        </w:tc>
        <w:tc>
          <w:tcPr>
            <w:tcW w:w="11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</w:tcPr>
          <w:p w:rsidR="00363CC8" w:rsidRPr="004D4321" w:rsidRDefault="00E92781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63CC8" w:rsidRPr="004D4321" w:rsidTr="00363CC8">
        <w:tc>
          <w:tcPr>
            <w:tcW w:w="377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Управление имущественных отношений администрации ЛГО</w:t>
            </w:r>
          </w:p>
        </w:tc>
        <w:tc>
          <w:tcPr>
            <w:tcW w:w="19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15061,62</w:t>
            </w:r>
          </w:p>
        </w:tc>
        <w:tc>
          <w:tcPr>
            <w:tcW w:w="1964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15061,62</w:t>
            </w:r>
          </w:p>
        </w:tc>
        <w:tc>
          <w:tcPr>
            <w:tcW w:w="11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</w:tcPr>
          <w:p w:rsidR="00363CC8" w:rsidRPr="004D4321" w:rsidRDefault="00E92781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63CC8" w:rsidRPr="004D4321" w:rsidTr="00363CC8">
        <w:tc>
          <w:tcPr>
            <w:tcW w:w="377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Финансовое управление</w:t>
            </w:r>
          </w:p>
        </w:tc>
        <w:tc>
          <w:tcPr>
            <w:tcW w:w="19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18497,0</w:t>
            </w:r>
          </w:p>
        </w:tc>
        <w:tc>
          <w:tcPr>
            <w:tcW w:w="1964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18797,0</w:t>
            </w:r>
          </w:p>
        </w:tc>
        <w:tc>
          <w:tcPr>
            <w:tcW w:w="11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+300</w:t>
            </w:r>
          </w:p>
        </w:tc>
        <w:tc>
          <w:tcPr>
            <w:tcW w:w="981" w:type="dxa"/>
          </w:tcPr>
          <w:p w:rsidR="00363CC8" w:rsidRPr="004D4321" w:rsidRDefault="00E92781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101,6</w:t>
            </w:r>
          </w:p>
        </w:tc>
      </w:tr>
      <w:tr w:rsidR="00363CC8" w:rsidRPr="004D4321" w:rsidTr="00363CC8">
        <w:tc>
          <w:tcPr>
            <w:tcW w:w="377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Дума ЛГО</w:t>
            </w:r>
          </w:p>
        </w:tc>
        <w:tc>
          <w:tcPr>
            <w:tcW w:w="19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5904,0</w:t>
            </w:r>
          </w:p>
        </w:tc>
        <w:tc>
          <w:tcPr>
            <w:tcW w:w="1964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5904,0</w:t>
            </w:r>
          </w:p>
        </w:tc>
        <w:tc>
          <w:tcPr>
            <w:tcW w:w="11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</w:tcPr>
          <w:p w:rsidR="00363CC8" w:rsidRPr="004D4321" w:rsidRDefault="00E92781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63CC8" w:rsidRPr="004D4321" w:rsidTr="00363CC8">
        <w:tc>
          <w:tcPr>
            <w:tcW w:w="377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Контрольно-счетная палата ЛГО</w:t>
            </w:r>
          </w:p>
        </w:tc>
        <w:tc>
          <w:tcPr>
            <w:tcW w:w="19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2225,0</w:t>
            </w:r>
          </w:p>
        </w:tc>
        <w:tc>
          <w:tcPr>
            <w:tcW w:w="1964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2225,0</w:t>
            </w:r>
          </w:p>
        </w:tc>
        <w:tc>
          <w:tcPr>
            <w:tcW w:w="11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1" w:type="dxa"/>
          </w:tcPr>
          <w:p w:rsidR="00363CC8" w:rsidRPr="004D4321" w:rsidRDefault="00E92781" w:rsidP="00363CC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63CC8" w:rsidRPr="004D4321" w:rsidTr="00363CC8">
        <w:tc>
          <w:tcPr>
            <w:tcW w:w="377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b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9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b/>
                <w:sz w:val="20"/>
                <w:szCs w:val="20"/>
                <w:lang w:eastAsia="en-US"/>
              </w:rPr>
              <w:t>1107475,0</w:t>
            </w:r>
          </w:p>
        </w:tc>
        <w:tc>
          <w:tcPr>
            <w:tcW w:w="1964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D4321">
              <w:rPr>
                <w:b/>
                <w:color w:val="000000"/>
                <w:sz w:val="20"/>
                <w:szCs w:val="20"/>
              </w:rPr>
              <w:t>1118526,84</w:t>
            </w:r>
          </w:p>
        </w:tc>
        <w:tc>
          <w:tcPr>
            <w:tcW w:w="1166" w:type="dxa"/>
          </w:tcPr>
          <w:p w:rsidR="00363CC8" w:rsidRPr="004D4321" w:rsidRDefault="00363CC8" w:rsidP="00363CC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b/>
                <w:sz w:val="20"/>
                <w:szCs w:val="20"/>
                <w:lang w:eastAsia="en-US"/>
              </w:rPr>
              <w:t>11051,84</w:t>
            </w:r>
          </w:p>
        </w:tc>
        <w:tc>
          <w:tcPr>
            <w:tcW w:w="981" w:type="dxa"/>
          </w:tcPr>
          <w:p w:rsidR="00363CC8" w:rsidRPr="004D4321" w:rsidRDefault="00E92781" w:rsidP="00363CC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101,0</w:t>
            </w:r>
          </w:p>
        </w:tc>
      </w:tr>
    </w:tbl>
    <w:p w:rsidR="00EA7818" w:rsidRPr="000B7823" w:rsidRDefault="00EA7818" w:rsidP="00EA7818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4D2307" w:rsidRPr="004D2307" w:rsidRDefault="004D2307" w:rsidP="004D230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Анализ вносимых изменений в бюджетные ассигнования 201</w:t>
      </w:r>
      <w:r w:rsidR="00107205">
        <w:rPr>
          <w:rFonts w:eastAsia="Calibri"/>
          <w:lang w:eastAsia="en-US"/>
        </w:rPr>
        <w:t>9</w:t>
      </w:r>
      <w:r w:rsidRPr="004D2307">
        <w:rPr>
          <w:rFonts w:eastAsia="Calibri"/>
          <w:lang w:eastAsia="en-US"/>
        </w:rPr>
        <w:t xml:space="preserve"> года по расходам по разделам бюджетной классификации расходов:</w:t>
      </w: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4D2307" w:rsidRPr="004D2307" w:rsidRDefault="004D2307" w:rsidP="004D2307">
      <w:pPr>
        <w:ind w:firstLine="709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        </w:t>
      </w:r>
      <w:r w:rsidR="00296695">
        <w:rPr>
          <w:rFonts w:eastAsia="Calibri"/>
          <w:lang w:eastAsia="en-US"/>
        </w:rPr>
        <w:t xml:space="preserve">            </w:t>
      </w:r>
      <w:r w:rsidRPr="004D2307">
        <w:rPr>
          <w:rFonts w:eastAsia="Calibri"/>
          <w:lang w:eastAsia="en-US"/>
        </w:rPr>
        <w:t xml:space="preserve">                                                                                                          (</w:t>
      </w:r>
      <w:proofErr w:type="spellStart"/>
      <w:r w:rsidRPr="004D2307">
        <w:rPr>
          <w:rFonts w:eastAsia="Calibri"/>
          <w:lang w:eastAsia="en-US"/>
        </w:rPr>
        <w:t>тыс</w:t>
      </w:r>
      <w:proofErr w:type="gramStart"/>
      <w:r w:rsidRPr="004D2307">
        <w:rPr>
          <w:rFonts w:eastAsia="Calibri"/>
          <w:lang w:eastAsia="en-US"/>
        </w:rPr>
        <w:t>.р</w:t>
      </w:r>
      <w:proofErr w:type="gramEnd"/>
      <w:r w:rsidRPr="004D2307">
        <w:rPr>
          <w:rFonts w:eastAsia="Calibri"/>
          <w:lang w:eastAsia="en-US"/>
        </w:rPr>
        <w:t>уб</w:t>
      </w:r>
      <w:proofErr w:type="spellEnd"/>
      <w:r w:rsidRPr="004D2307">
        <w:rPr>
          <w:rFonts w:eastAsia="Calibri"/>
          <w:lang w:eastAsia="en-US"/>
        </w:rPr>
        <w:t xml:space="preserve">.) 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692"/>
        <w:gridCol w:w="1913"/>
        <w:gridCol w:w="1500"/>
        <w:gridCol w:w="1227"/>
        <w:gridCol w:w="1135"/>
      </w:tblGrid>
      <w:tr w:rsidR="001C0EB2" w:rsidRPr="004D2307" w:rsidTr="00490A13">
        <w:trPr>
          <w:trHeight w:val="211"/>
          <w:jc w:val="center"/>
        </w:trPr>
        <w:tc>
          <w:tcPr>
            <w:tcW w:w="732" w:type="dxa"/>
            <w:vMerge w:val="restart"/>
          </w:tcPr>
          <w:p w:rsidR="001C0EB2" w:rsidRPr="004D2307" w:rsidRDefault="00687B9C" w:rsidP="00687B9C">
            <w:pPr>
              <w:tabs>
                <w:tab w:val="left" w:pos="-62"/>
              </w:tabs>
              <w:autoSpaceDE w:val="0"/>
              <w:autoSpaceDN w:val="0"/>
              <w:adjustRightInd w:val="0"/>
              <w:ind w:lef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692" w:type="dxa"/>
            <w:vMerge w:val="restart"/>
            <w:vAlign w:val="center"/>
            <w:hideMark/>
          </w:tcPr>
          <w:p w:rsidR="001C0EB2" w:rsidRPr="004D2307" w:rsidRDefault="001C0EB2" w:rsidP="004D2307">
            <w:pPr>
              <w:tabs>
                <w:tab w:val="left" w:pos="-62"/>
              </w:tabs>
              <w:autoSpaceDE w:val="0"/>
              <w:autoSpaceDN w:val="0"/>
              <w:adjustRightInd w:val="0"/>
              <w:ind w:left="80" w:firstLine="426"/>
              <w:jc w:val="center"/>
              <w:rPr>
                <w:b/>
                <w:sz w:val="18"/>
                <w:szCs w:val="18"/>
              </w:rPr>
            </w:pPr>
            <w:r w:rsidRPr="004D2307">
              <w:rPr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1913" w:type="dxa"/>
            <w:vMerge w:val="restart"/>
            <w:hideMark/>
          </w:tcPr>
          <w:p w:rsidR="001C0EB2" w:rsidRPr="004D2307" w:rsidRDefault="001C0EB2" w:rsidP="001072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Утвержденный бюджет на 201</w:t>
            </w:r>
            <w:r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9</w:t>
            </w: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500" w:type="dxa"/>
            <w:vMerge w:val="restart"/>
            <w:hideMark/>
          </w:tcPr>
          <w:p w:rsidR="001C0EB2" w:rsidRPr="004D2307" w:rsidRDefault="001C0EB2" w:rsidP="004D2307">
            <w:pPr>
              <w:suppressAutoHyphens/>
              <w:spacing w:line="276" w:lineRule="auto"/>
              <w:ind w:hanging="109"/>
              <w:rPr>
                <w:sz w:val="18"/>
                <w:szCs w:val="18"/>
              </w:rPr>
            </w:pP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Проект решения</w:t>
            </w:r>
          </w:p>
          <w:p w:rsidR="001C0EB2" w:rsidRPr="004D2307" w:rsidRDefault="001C0EB2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gridSpan w:val="2"/>
          </w:tcPr>
          <w:p w:rsidR="001C0EB2" w:rsidRPr="004D2307" w:rsidRDefault="001C0EB2" w:rsidP="004D230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D2307">
              <w:rPr>
                <w:b/>
                <w:i/>
                <w:sz w:val="18"/>
                <w:szCs w:val="18"/>
              </w:rPr>
              <w:t>Изменения</w:t>
            </w:r>
          </w:p>
        </w:tc>
      </w:tr>
      <w:tr w:rsidR="001C0EB2" w:rsidRPr="004D2307" w:rsidTr="00490A13">
        <w:trPr>
          <w:trHeight w:val="243"/>
          <w:jc w:val="center"/>
        </w:trPr>
        <w:tc>
          <w:tcPr>
            <w:tcW w:w="732" w:type="dxa"/>
            <w:vMerge/>
          </w:tcPr>
          <w:p w:rsidR="001C0EB2" w:rsidRPr="004D2307" w:rsidRDefault="001C0EB2" w:rsidP="004D2307">
            <w:pPr>
              <w:rPr>
                <w:sz w:val="18"/>
                <w:szCs w:val="18"/>
              </w:rPr>
            </w:pPr>
          </w:p>
        </w:tc>
        <w:tc>
          <w:tcPr>
            <w:tcW w:w="3692" w:type="dxa"/>
            <w:vMerge/>
            <w:vAlign w:val="center"/>
            <w:hideMark/>
          </w:tcPr>
          <w:p w:rsidR="001C0EB2" w:rsidRPr="004D2307" w:rsidRDefault="001C0EB2" w:rsidP="004D2307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  <w:hideMark/>
          </w:tcPr>
          <w:p w:rsidR="001C0EB2" w:rsidRPr="004D2307" w:rsidRDefault="001C0EB2" w:rsidP="004D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:rsidR="001C0EB2" w:rsidRPr="004D2307" w:rsidRDefault="001C0EB2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hideMark/>
          </w:tcPr>
          <w:p w:rsidR="001C0EB2" w:rsidRPr="004D2307" w:rsidRDefault="001C0EB2" w:rsidP="004D23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2307">
              <w:rPr>
                <w:b/>
                <w:i/>
                <w:sz w:val="18"/>
                <w:szCs w:val="18"/>
              </w:rPr>
              <w:t>Сумма</w:t>
            </w:r>
          </w:p>
        </w:tc>
        <w:tc>
          <w:tcPr>
            <w:tcW w:w="1135" w:type="dxa"/>
            <w:vAlign w:val="center"/>
            <w:hideMark/>
          </w:tcPr>
          <w:p w:rsidR="001C0EB2" w:rsidRPr="004D2307" w:rsidRDefault="001C0EB2" w:rsidP="004D2307">
            <w:pPr>
              <w:jc w:val="center"/>
              <w:rPr>
                <w:sz w:val="18"/>
                <w:szCs w:val="18"/>
              </w:rPr>
            </w:pPr>
            <w:r w:rsidRPr="004D2307">
              <w:rPr>
                <w:sz w:val="18"/>
                <w:szCs w:val="18"/>
              </w:rPr>
              <w:t>%</w:t>
            </w:r>
          </w:p>
        </w:tc>
      </w:tr>
      <w:tr w:rsidR="001C0EB2" w:rsidRPr="004D2307" w:rsidTr="00490A13">
        <w:trPr>
          <w:trHeight w:val="309"/>
          <w:jc w:val="center"/>
        </w:trPr>
        <w:tc>
          <w:tcPr>
            <w:tcW w:w="732" w:type="dxa"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106 829,92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192A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106 829,92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313A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56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1C0EB2" w:rsidRPr="004D2307" w:rsidTr="00490A13">
        <w:trPr>
          <w:trHeight w:val="288"/>
          <w:jc w:val="center"/>
        </w:trPr>
        <w:tc>
          <w:tcPr>
            <w:tcW w:w="732" w:type="dxa"/>
          </w:tcPr>
          <w:p w:rsidR="001C0EB2" w:rsidRPr="00490A13" w:rsidRDefault="001C0EB2" w:rsidP="004D2307">
            <w:pPr>
              <w:rPr>
                <w:b/>
                <w:color w:val="000000"/>
                <w:sz w:val="20"/>
                <w:szCs w:val="20"/>
              </w:rPr>
            </w:pPr>
            <w:r w:rsidRPr="00490A13">
              <w:rPr>
                <w:b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0305A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1C0EB2" w:rsidRPr="004D2307" w:rsidTr="00490A13">
        <w:trPr>
          <w:trHeight w:val="393"/>
          <w:jc w:val="center"/>
        </w:trPr>
        <w:tc>
          <w:tcPr>
            <w:tcW w:w="732" w:type="dxa"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1061,48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4140,30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+3078,82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390,0</w:t>
            </w:r>
          </w:p>
        </w:tc>
      </w:tr>
      <w:tr w:rsidR="001C0EB2" w:rsidRPr="004D2307" w:rsidTr="00490A13">
        <w:trPr>
          <w:trHeight w:val="219"/>
          <w:jc w:val="center"/>
        </w:trPr>
        <w:tc>
          <w:tcPr>
            <w:tcW w:w="732" w:type="dxa"/>
          </w:tcPr>
          <w:p w:rsidR="001C0EB2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</w:tc>
        <w:tc>
          <w:tcPr>
            <w:tcW w:w="3692" w:type="dxa"/>
          </w:tcPr>
          <w:p w:rsidR="001C0EB2" w:rsidRPr="004D2307" w:rsidRDefault="00731AF4" w:rsidP="00EE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13" w:type="dxa"/>
            <w:vAlign w:val="center"/>
          </w:tcPr>
          <w:p w:rsidR="001C0EB2" w:rsidRDefault="00731AF4" w:rsidP="00192A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1061,48</w:t>
            </w:r>
          </w:p>
        </w:tc>
        <w:tc>
          <w:tcPr>
            <w:tcW w:w="1500" w:type="dxa"/>
            <w:vAlign w:val="center"/>
          </w:tcPr>
          <w:p w:rsidR="001C0EB2" w:rsidRDefault="00D16229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4140,30</w:t>
            </w:r>
          </w:p>
        </w:tc>
        <w:tc>
          <w:tcPr>
            <w:tcW w:w="1227" w:type="dxa"/>
            <w:vAlign w:val="center"/>
          </w:tcPr>
          <w:p w:rsidR="001C0EB2" w:rsidRDefault="009D1B9E" w:rsidP="00313A3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+3078,82</w:t>
            </w:r>
          </w:p>
        </w:tc>
        <w:tc>
          <w:tcPr>
            <w:tcW w:w="1135" w:type="dxa"/>
            <w:vAlign w:val="center"/>
          </w:tcPr>
          <w:p w:rsidR="001C0EB2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390,0</w:t>
            </w:r>
          </w:p>
        </w:tc>
      </w:tr>
      <w:tr w:rsidR="001C0EB2" w:rsidRPr="004D2307" w:rsidTr="00490A13">
        <w:trPr>
          <w:trHeight w:val="219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192A48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37833,52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37833,52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313A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1C0EB2" w:rsidRPr="004D2307" w:rsidTr="00490A13">
        <w:trPr>
          <w:trHeight w:val="183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9E355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93517,97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9E355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93517,97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52AE8" w:rsidRPr="004D2307" w:rsidTr="00490A13">
        <w:trPr>
          <w:trHeight w:val="183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913" w:type="dxa"/>
            <w:vAlign w:val="center"/>
          </w:tcPr>
          <w:p w:rsidR="00452AE8" w:rsidRDefault="00731AF4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4802,0</w:t>
            </w:r>
          </w:p>
        </w:tc>
        <w:tc>
          <w:tcPr>
            <w:tcW w:w="1500" w:type="dxa"/>
            <w:vAlign w:val="center"/>
          </w:tcPr>
          <w:p w:rsidR="00452AE8" w:rsidRDefault="007F69C5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5630,91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+828,91</w:t>
            </w:r>
          </w:p>
        </w:tc>
        <w:tc>
          <w:tcPr>
            <w:tcW w:w="1135" w:type="dxa"/>
            <w:vAlign w:val="center"/>
          </w:tcPr>
          <w:p w:rsidR="00452AE8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117,3</w:t>
            </w:r>
          </w:p>
        </w:tc>
      </w:tr>
      <w:tr w:rsidR="00452AE8" w:rsidRPr="004D2307" w:rsidTr="00490A13">
        <w:trPr>
          <w:trHeight w:val="183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913" w:type="dxa"/>
            <w:vAlign w:val="center"/>
          </w:tcPr>
          <w:p w:rsidR="00452AE8" w:rsidRDefault="00731AF4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36269,7</w:t>
            </w:r>
          </w:p>
        </w:tc>
        <w:tc>
          <w:tcPr>
            <w:tcW w:w="1500" w:type="dxa"/>
            <w:vAlign w:val="center"/>
          </w:tcPr>
          <w:p w:rsidR="00452AE8" w:rsidRDefault="007F69C5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35440,8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-828,9</w:t>
            </w:r>
          </w:p>
        </w:tc>
        <w:tc>
          <w:tcPr>
            <w:tcW w:w="1135" w:type="dxa"/>
            <w:vAlign w:val="center"/>
          </w:tcPr>
          <w:p w:rsidR="00452AE8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452AE8" w:rsidRPr="004D2307" w:rsidTr="00490A13">
        <w:trPr>
          <w:trHeight w:val="183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913" w:type="dxa"/>
            <w:vAlign w:val="center"/>
          </w:tcPr>
          <w:p w:rsidR="00452AE8" w:rsidRDefault="00731AF4" w:rsidP="007F69C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52444,64</w:t>
            </w:r>
          </w:p>
        </w:tc>
        <w:tc>
          <w:tcPr>
            <w:tcW w:w="1500" w:type="dxa"/>
            <w:vAlign w:val="center"/>
          </w:tcPr>
          <w:p w:rsidR="00452AE8" w:rsidRDefault="007F69C5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52444,64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452AE8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52AE8" w:rsidRPr="004D2307" w:rsidTr="00490A13">
        <w:trPr>
          <w:trHeight w:val="183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913" w:type="dxa"/>
            <w:vAlign w:val="center"/>
          </w:tcPr>
          <w:p w:rsidR="00452AE8" w:rsidRDefault="00731AF4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1,62</w:t>
            </w:r>
          </w:p>
        </w:tc>
        <w:tc>
          <w:tcPr>
            <w:tcW w:w="1500" w:type="dxa"/>
            <w:vAlign w:val="center"/>
          </w:tcPr>
          <w:p w:rsidR="00452AE8" w:rsidRDefault="007F69C5" w:rsidP="009E355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1,62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452AE8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C0EB2" w:rsidRPr="004D2307" w:rsidTr="00490A13">
        <w:trPr>
          <w:trHeight w:val="215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0700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3130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701365,37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721405,28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+20039,91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102,8</w:t>
            </w:r>
          </w:p>
        </w:tc>
      </w:tr>
      <w:tr w:rsidR="00EE56EC" w:rsidRPr="004D2307" w:rsidTr="00490A13">
        <w:trPr>
          <w:trHeight w:val="285"/>
          <w:jc w:val="center"/>
        </w:trPr>
        <w:tc>
          <w:tcPr>
            <w:tcW w:w="732" w:type="dxa"/>
          </w:tcPr>
          <w:p w:rsidR="00EE56EC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3692" w:type="dxa"/>
          </w:tcPr>
          <w:p w:rsidR="00EE56EC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913" w:type="dxa"/>
            <w:vAlign w:val="center"/>
          </w:tcPr>
          <w:p w:rsidR="00EE56EC" w:rsidRDefault="00731AF4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262578,39</w:t>
            </w:r>
          </w:p>
        </w:tc>
        <w:tc>
          <w:tcPr>
            <w:tcW w:w="1500" w:type="dxa"/>
            <w:vAlign w:val="center"/>
          </w:tcPr>
          <w:p w:rsidR="00EE56EC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270247,39</w:t>
            </w:r>
          </w:p>
        </w:tc>
        <w:tc>
          <w:tcPr>
            <w:tcW w:w="1227" w:type="dxa"/>
            <w:vAlign w:val="center"/>
          </w:tcPr>
          <w:p w:rsidR="00EE56EC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+7669,0</w:t>
            </w:r>
          </w:p>
        </w:tc>
        <w:tc>
          <w:tcPr>
            <w:tcW w:w="1135" w:type="dxa"/>
            <w:vAlign w:val="center"/>
          </w:tcPr>
          <w:p w:rsidR="00EE56EC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102,9</w:t>
            </w:r>
          </w:p>
        </w:tc>
      </w:tr>
      <w:tr w:rsidR="00452AE8" w:rsidRPr="004D2307" w:rsidTr="00490A13">
        <w:trPr>
          <w:trHeight w:val="285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913" w:type="dxa"/>
            <w:vAlign w:val="center"/>
          </w:tcPr>
          <w:p w:rsidR="00452AE8" w:rsidRDefault="00731AF4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332825,49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347569,72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+14744,23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104,4</w:t>
            </w:r>
          </w:p>
        </w:tc>
      </w:tr>
      <w:tr w:rsidR="00452AE8" w:rsidRPr="004D2307" w:rsidTr="00490A13">
        <w:trPr>
          <w:trHeight w:val="285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913" w:type="dxa"/>
            <w:vAlign w:val="center"/>
          </w:tcPr>
          <w:p w:rsidR="00452AE8" w:rsidRDefault="00731AF4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58859,64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66786,32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+7926,68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113,5</w:t>
            </w:r>
          </w:p>
        </w:tc>
      </w:tr>
      <w:tr w:rsidR="00452AE8" w:rsidRPr="004D2307" w:rsidTr="00490A13">
        <w:trPr>
          <w:trHeight w:val="285"/>
          <w:jc w:val="center"/>
        </w:trPr>
        <w:tc>
          <w:tcPr>
            <w:tcW w:w="732" w:type="dxa"/>
          </w:tcPr>
          <w:p w:rsidR="00452AE8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3692" w:type="dxa"/>
          </w:tcPr>
          <w:p w:rsidR="00452AE8" w:rsidRPr="004D2307" w:rsidRDefault="00731AF4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13" w:type="dxa"/>
            <w:vAlign w:val="center"/>
          </w:tcPr>
          <w:p w:rsidR="00452AE8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52AE8" w:rsidRPr="004D2307" w:rsidTr="00490A13">
        <w:trPr>
          <w:trHeight w:val="285"/>
          <w:jc w:val="center"/>
        </w:trPr>
        <w:tc>
          <w:tcPr>
            <w:tcW w:w="732" w:type="dxa"/>
          </w:tcPr>
          <w:p w:rsidR="00452AE8" w:rsidRDefault="00D16229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3692" w:type="dxa"/>
          </w:tcPr>
          <w:p w:rsidR="00452AE8" w:rsidRPr="004D2307" w:rsidRDefault="00D16229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913" w:type="dxa"/>
            <w:vAlign w:val="center"/>
          </w:tcPr>
          <w:p w:rsidR="00452AE8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6477,06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6477,06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16229" w:rsidRPr="004D2307" w:rsidTr="00490A13">
        <w:trPr>
          <w:trHeight w:val="285"/>
          <w:jc w:val="center"/>
        </w:trPr>
        <w:tc>
          <w:tcPr>
            <w:tcW w:w="732" w:type="dxa"/>
          </w:tcPr>
          <w:p w:rsidR="00D16229" w:rsidRDefault="00D16229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0709</w:t>
            </w:r>
          </w:p>
        </w:tc>
        <w:tc>
          <w:tcPr>
            <w:tcW w:w="3692" w:type="dxa"/>
          </w:tcPr>
          <w:p w:rsidR="00D16229" w:rsidRDefault="00D16229" w:rsidP="004D2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913" w:type="dxa"/>
            <w:vAlign w:val="center"/>
          </w:tcPr>
          <w:p w:rsidR="00D16229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40574,8</w:t>
            </w:r>
          </w:p>
        </w:tc>
        <w:tc>
          <w:tcPr>
            <w:tcW w:w="1500" w:type="dxa"/>
            <w:vAlign w:val="center"/>
          </w:tcPr>
          <w:p w:rsidR="00D16229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30274,8</w:t>
            </w:r>
          </w:p>
        </w:tc>
        <w:tc>
          <w:tcPr>
            <w:tcW w:w="1227" w:type="dxa"/>
            <w:vAlign w:val="center"/>
          </w:tcPr>
          <w:p w:rsidR="00D16229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-10300</w:t>
            </w:r>
          </w:p>
        </w:tc>
        <w:tc>
          <w:tcPr>
            <w:tcW w:w="1135" w:type="dxa"/>
            <w:vAlign w:val="center"/>
          </w:tcPr>
          <w:p w:rsidR="00D16229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</w:tr>
      <w:tr w:rsidR="001C0EB2" w:rsidRPr="00490A13" w:rsidTr="00490A13">
        <w:trPr>
          <w:trHeight w:val="285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76335,75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57237,65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-19098,10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EE56EC" w:rsidRPr="004D2307" w:rsidTr="00490A13">
        <w:trPr>
          <w:trHeight w:val="263"/>
          <w:jc w:val="center"/>
        </w:trPr>
        <w:tc>
          <w:tcPr>
            <w:tcW w:w="732" w:type="dxa"/>
          </w:tcPr>
          <w:p w:rsidR="00EE56EC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3692" w:type="dxa"/>
          </w:tcPr>
          <w:p w:rsidR="00EE56EC" w:rsidRPr="004D2307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913" w:type="dxa"/>
            <w:vAlign w:val="center"/>
          </w:tcPr>
          <w:p w:rsidR="00EE56EC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59020,75</w:t>
            </w:r>
          </w:p>
        </w:tc>
        <w:tc>
          <w:tcPr>
            <w:tcW w:w="1500" w:type="dxa"/>
            <w:vAlign w:val="center"/>
          </w:tcPr>
          <w:p w:rsidR="00EE56EC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39937,34</w:t>
            </w:r>
          </w:p>
        </w:tc>
        <w:tc>
          <w:tcPr>
            <w:tcW w:w="1227" w:type="dxa"/>
            <w:vAlign w:val="center"/>
          </w:tcPr>
          <w:p w:rsidR="00EE56EC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-19083,41</w:t>
            </w:r>
          </w:p>
        </w:tc>
        <w:tc>
          <w:tcPr>
            <w:tcW w:w="1135" w:type="dxa"/>
            <w:vAlign w:val="center"/>
          </w:tcPr>
          <w:p w:rsidR="00EE56EC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</w:tr>
      <w:tr w:rsidR="00452AE8" w:rsidRPr="004D2307" w:rsidTr="00490A13">
        <w:trPr>
          <w:trHeight w:val="263"/>
          <w:jc w:val="center"/>
        </w:trPr>
        <w:tc>
          <w:tcPr>
            <w:tcW w:w="732" w:type="dxa"/>
          </w:tcPr>
          <w:p w:rsidR="00452AE8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3692" w:type="dxa"/>
          </w:tcPr>
          <w:p w:rsidR="00452AE8" w:rsidRPr="004D2307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1913" w:type="dxa"/>
            <w:vAlign w:val="center"/>
          </w:tcPr>
          <w:p w:rsidR="00452AE8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17315</w:t>
            </w:r>
            <w:r w:rsidR="00E92781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17300,31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-14,69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1C0EB2" w:rsidRPr="004D2307" w:rsidTr="00490A13">
        <w:trPr>
          <w:trHeight w:val="263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49173,49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54895,14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+5721,65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111,6</w:t>
            </w:r>
          </w:p>
        </w:tc>
      </w:tr>
      <w:tr w:rsidR="00452AE8" w:rsidRPr="004D2307" w:rsidTr="00490A13">
        <w:trPr>
          <w:trHeight w:val="263"/>
          <w:jc w:val="center"/>
        </w:trPr>
        <w:tc>
          <w:tcPr>
            <w:tcW w:w="732" w:type="dxa"/>
          </w:tcPr>
          <w:p w:rsidR="00452AE8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3692" w:type="dxa"/>
          </w:tcPr>
          <w:p w:rsidR="00452AE8" w:rsidRPr="004D2307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913" w:type="dxa"/>
            <w:vAlign w:val="center"/>
          </w:tcPr>
          <w:p w:rsidR="00452AE8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3084,0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3084,0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52AE8" w:rsidRPr="004D2307" w:rsidTr="00490A13">
        <w:trPr>
          <w:trHeight w:val="263"/>
          <w:jc w:val="center"/>
        </w:trPr>
        <w:tc>
          <w:tcPr>
            <w:tcW w:w="732" w:type="dxa"/>
          </w:tcPr>
          <w:p w:rsidR="00452AE8" w:rsidRDefault="00D16229" w:rsidP="00D162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3692" w:type="dxa"/>
          </w:tcPr>
          <w:p w:rsidR="00452AE8" w:rsidRPr="004D2307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913" w:type="dxa"/>
            <w:vAlign w:val="center"/>
          </w:tcPr>
          <w:p w:rsidR="00452AE8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13660,0</w:t>
            </w:r>
          </w:p>
        </w:tc>
        <w:tc>
          <w:tcPr>
            <w:tcW w:w="1500" w:type="dxa"/>
            <w:vAlign w:val="center"/>
          </w:tcPr>
          <w:p w:rsidR="00452AE8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13660,0</w:t>
            </w:r>
          </w:p>
        </w:tc>
        <w:tc>
          <w:tcPr>
            <w:tcW w:w="1227" w:type="dxa"/>
            <w:vAlign w:val="center"/>
          </w:tcPr>
          <w:p w:rsidR="00452AE8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452AE8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E56EC" w:rsidRPr="004D2307" w:rsidTr="00490A13">
        <w:trPr>
          <w:trHeight w:val="213"/>
          <w:jc w:val="center"/>
        </w:trPr>
        <w:tc>
          <w:tcPr>
            <w:tcW w:w="732" w:type="dxa"/>
          </w:tcPr>
          <w:p w:rsidR="00EE56EC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3692" w:type="dxa"/>
          </w:tcPr>
          <w:p w:rsidR="00EE56EC" w:rsidRPr="004D2307" w:rsidRDefault="00D16229" w:rsidP="004D23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913" w:type="dxa"/>
            <w:vAlign w:val="center"/>
          </w:tcPr>
          <w:p w:rsidR="00EE56EC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32429,49</w:t>
            </w:r>
          </w:p>
        </w:tc>
        <w:tc>
          <w:tcPr>
            <w:tcW w:w="1500" w:type="dxa"/>
            <w:vAlign w:val="center"/>
          </w:tcPr>
          <w:p w:rsidR="00EE56EC" w:rsidRDefault="007F69C5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38151,14</w:t>
            </w:r>
          </w:p>
        </w:tc>
        <w:tc>
          <w:tcPr>
            <w:tcW w:w="1227" w:type="dxa"/>
            <w:vAlign w:val="center"/>
          </w:tcPr>
          <w:p w:rsidR="00EE56EC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+5721,65</w:t>
            </w:r>
          </w:p>
        </w:tc>
        <w:tc>
          <w:tcPr>
            <w:tcW w:w="1135" w:type="dxa"/>
            <w:vAlign w:val="center"/>
          </w:tcPr>
          <w:p w:rsidR="00EE56EC" w:rsidRPr="004D2307" w:rsidRDefault="0050546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</w:tr>
      <w:tr w:rsidR="001C0EB2" w:rsidRPr="00490A13" w:rsidTr="00490A13">
        <w:trPr>
          <w:trHeight w:val="213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26020,50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27330,06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+1309,56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5054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EE56EC" w:rsidRPr="004D2307" w:rsidTr="00490A13">
        <w:trPr>
          <w:trHeight w:val="306"/>
          <w:jc w:val="center"/>
        </w:trPr>
        <w:tc>
          <w:tcPr>
            <w:tcW w:w="732" w:type="dxa"/>
          </w:tcPr>
          <w:p w:rsidR="00EE56EC" w:rsidRDefault="00D16229" w:rsidP="004D23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3692" w:type="dxa"/>
          </w:tcPr>
          <w:p w:rsidR="00EE56EC" w:rsidRPr="004D2307" w:rsidRDefault="00D16229" w:rsidP="004D230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913" w:type="dxa"/>
            <w:vAlign w:val="center"/>
          </w:tcPr>
          <w:p w:rsidR="00EE56EC" w:rsidRDefault="00D16229" w:rsidP="00DB377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26020,50</w:t>
            </w:r>
          </w:p>
        </w:tc>
        <w:tc>
          <w:tcPr>
            <w:tcW w:w="1500" w:type="dxa"/>
            <w:vAlign w:val="center"/>
          </w:tcPr>
          <w:p w:rsidR="00EE56EC" w:rsidRDefault="00E92781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27330,06</w:t>
            </w:r>
          </w:p>
        </w:tc>
        <w:tc>
          <w:tcPr>
            <w:tcW w:w="1227" w:type="dxa"/>
            <w:vAlign w:val="center"/>
          </w:tcPr>
          <w:p w:rsidR="00EE56EC" w:rsidRDefault="009D1B9E" w:rsidP="004D230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+1309,56</w:t>
            </w:r>
          </w:p>
        </w:tc>
        <w:tc>
          <w:tcPr>
            <w:tcW w:w="1135" w:type="dxa"/>
            <w:vAlign w:val="center"/>
          </w:tcPr>
          <w:p w:rsidR="00EE56EC" w:rsidRDefault="00505468" w:rsidP="005054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</w:tr>
      <w:tr w:rsidR="001C0EB2" w:rsidRPr="00490A13" w:rsidTr="00490A13">
        <w:trPr>
          <w:trHeight w:val="306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90A13">
              <w:rPr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3011,00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3011,00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1C0EB2" w:rsidRPr="004D2307" w:rsidTr="00490A13">
        <w:trPr>
          <w:trHeight w:val="384"/>
          <w:jc w:val="center"/>
        </w:trPr>
        <w:tc>
          <w:tcPr>
            <w:tcW w:w="732" w:type="dxa"/>
          </w:tcPr>
          <w:p w:rsidR="001C0EB2" w:rsidRPr="00490A13" w:rsidRDefault="005D6F43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3692" w:type="dxa"/>
            <w:hideMark/>
          </w:tcPr>
          <w:p w:rsidR="001C0EB2" w:rsidRPr="00490A13" w:rsidRDefault="001C0EB2" w:rsidP="004D23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0A13">
              <w:rPr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913" w:type="dxa"/>
            <w:vAlign w:val="center"/>
          </w:tcPr>
          <w:p w:rsidR="001C0EB2" w:rsidRPr="00490A13" w:rsidRDefault="001C0EB2" w:rsidP="00DB377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12306,00</w:t>
            </w:r>
          </w:p>
        </w:tc>
        <w:tc>
          <w:tcPr>
            <w:tcW w:w="1500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12306,00</w:t>
            </w:r>
          </w:p>
        </w:tc>
        <w:tc>
          <w:tcPr>
            <w:tcW w:w="1227" w:type="dxa"/>
            <w:vAlign w:val="center"/>
          </w:tcPr>
          <w:p w:rsidR="001C0EB2" w:rsidRPr="00490A13" w:rsidRDefault="001C0EB2" w:rsidP="004D230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90A13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vAlign w:val="center"/>
          </w:tcPr>
          <w:p w:rsidR="001C0EB2" w:rsidRPr="00490A13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1C0EB2" w:rsidRPr="004D2307" w:rsidTr="00490A13">
        <w:trPr>
          <w:trHeight w:val="233"/>
          <w:jc w:val="center"/>
        </w:trPr>
        <w:tc>
          <w:tcPr>
            <w:tcW w:w="732" w:type="dxa"/>
          </w:tcPr>
          <w:p w:rsidR="001C0EB2" w:rsidRPr="004D2307" w:rsidRDefault="001C0EB2" w:rsidP="004D2307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  <w:hideMark/>
          </w:tcPr>
          <w:p w:rsidR="001C0EB2" w:rsidRPr="004D2307" w:rsidRDefault="001C0EB2" w:rsidP="004D2307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18"/>
                <w:szCs w:val="18"/>
              </w:rPr>
            </w:pPr>
            <w:r w:rsidRPr="004D2307">
              <w:rPr>
                <w:b/>
                <w:sz w:val="18"/>
                <w:szCs w:val="18"/>
              </w:rPr>
              <w:t xml:space="preserve">                 Всего расходов</w:t>
            </w:r>
          </w:p>
        </w:tc>
        <w:tc>
          <w:tcPr>
            <w:tcW w:w="1913" w:type="dxa"/>
            <w:vAlign w:val="center"/>
          </w:tcPr>
          <w:p w:rsidR="001C0EB2" w:rsidRPr="004D2307" w:rsidRDefault="001C0EB2" w:rsidP="0045636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1107475,00</w:t>
            </w:r>
          </w:p>
        </w:tc>
        <w:tc>
          <w:tcPr>
            <w:tcW w:w="1500" w:type="dxa"/>
            <w:vAlign w:val="center"/>
          </w:tcPr>
          <w:p w:rsidR="001C0EB2" w:rsidRPr="004D2307" w:rsidRDefault="001C0EB2" w:rsidP="009E355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1118526,84</w:t>
            </w:r>
          </w:p>
        </w:tc>
        <w:tc>
          <w:tcPr>
            <w:tcW w:w="1227" w:type="dxa"/>
            <w:vAlign w:val="center"/>
          </w:tcPr>
          <w:p w:rsidR="001C0EB2" w:rsidRPr="004D2307" w:rsidRDefault="001C0EB2" w:rsidP="00313A3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+11051,84</w:t>
            </w:r>
          </w:p>
        </w:tc>
        <w:tc>
          <w:tcPr>
            <w:tcW w:w="1135" w:type="dxa"/>
            <w:vAlign w:val="center"/>
          </w:tcPr>
          <w:p w:rsidR="001C0EB2" w:rsidRPr="004D2307" w:rsidRDefault="00505468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</w:t>
            </w:r>
          </w:p>
        </w:tc>
      </w:tr>
    </w:tbl>
    <w:p w:rsidR="004D2307" w:rsidRPr="000B7823" w:rsidRDefault="004D2307" w:rsidP="004D2307">
      <w:pPr>
        <w:ind w:firstLine="709"/>
        <w:jc w:val="both"/>
        <w:rPr>
          <w:sz w:val="16"/>
          <w:szCs w:val="16"/>
        </w:rPr>
      </w:pPr>
    </w:p>
    <w:p w:rsidR="004D2307" w:rsidRPr="004D2307" w:rsidRDefault="004D2307" w:rsidP="004D2307">
      <w:pPr>
        <w:ind w:firstLine="708"/>
        <w:jc w:val="both"/>
        <w:rPr>
          <w:rFonts w:eastAsia="Calibri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="0039684E">
        <w:rPr>
          <w:rFonts w:eastAsia="Calibri"/>
          <w:b/>
          <w:lang w:eastAsia="en-US"/>
        </w:rPr>
        <w:t xml:space="preserve">0300 </w:t>
      </w:r>
      <w:r w:rsidRPr="004D2307">
        <w:rPr>
          <w:rFonts w:eastAsia="Calibri"/>
          <w:b/>
          <w:lang w:eastAsia="en-US"/>
        </w:rPr>
        <w:t>«</w:t>
      </w:r>
      <w:r w:rsidR="00505468">
        <w:rPr>
          <w:rFonts w:eastAsia="Calibri"/>
          <w:b/>
          <w:lang w:eastAsia="en-US"/>
        </w:rPr>
        <w:t>Национальная безопасность и правоохранительная деятельность</w:t>
      </w:r>
      <w:r w:rsidRPr="004D2307">
        <w:rPr>
          <w:b/>
        </w:rPr>
        <w:t>»</w:t>
      </w:r>
      <w:r w:rsidRPr="004D2307">
        <w:rPr>
          <w:rFonts w:eastAsia="Calibri"/>
          <w:lang w:eastAsia="en-US"/>
        </w:rPr>
        <w:t xml:space="preserve"> расходы увеличиваются на </w:t>
      </w:r>
      <w:r w:rsidR="00505468" w:rsidRPr="002C0C54">
        <w:rPr>
          <w:rFonts w:eastAsia="Calibri"/>
          <w:b/>
          <w:lang w:eastAsia="en-US"/>
        </w:rPr>
        <w:t>3078,8</w:t>
      </w:r>
      <w:r w:rsidRPr="004D2307">
        <w:rPr>
          <w:rFonts w:eastAsia="Calibri"/>
          <w:b/>
          <w:lang w:eastAsia="en-US"/>
        </w:rPr>
        <w:t xml:space="preserve"> </w:t>
      </w:r>
      <w:r w:rsidRPr="004D2307">
        <w:rPr>
          <w:rFonts w:eastAsia="Calibri"/>
          <w:lang w:eastAsia="en-US"/>
        </w:rPr>
        <w:t>тыс.</w:t>
      </w:r>
      <w:r w:rsidR="009E355D">
        <w:rPr>
          <w:rFonts w:eastAsia="Calibri"/>
          <w:lang w:eastAsia="en-US"/>
        </w:rPr>
        <w:t xml:space="preserve"> </w:t>
      </w:r>
      <w:r w:rsidRPr="004D2307">
        <w:rPr>
          <w:rFonts w:eastAsia="Calibri"/>
          <w:lang w:eastAsia="en-US"/>
        </w:rPr>
        <w:t xml:space="preserve">руб. и составят </w:t>
      </w:r>
      <w:r w:rsidR="00505468">
        <w:rPr>
          <w:rFonts w:eastAsia="Calibri"/>
          <w:lang w:eastAsia="en-US"/>
        </w:rPr>
        <w:t>4140,3</w:t>
      </w:r>
      <w:r w:rsidRPr="004D2307">
        <w:rPr>
          <w:rFonts w:eastAsia="Calibri"/>
          <w:lang w:eastAsia="en-US"/>
        </w:rPr>
        <w:t xml:space="preserve"> тыс. руб.</w:t>
      </w:r>
      <w:r w:rsidR="00D7575F">
        <w:rPr>
          <w:rFonts w:eastAsia="Calibri"/>
          <w:lang w:eastAsia="en-US"/>
        </w:rPr>
        <w:t xml:space="preserve"> за счет </w:t>
      </w:r>
      <w:r w:rsidR="00505468">
        <w:rPr>
          <w:rFonts w:eastAsia="Calibri"/>
          <w:lang w:eastAsia="en-US"/>
        </w:rPr>
        <w:t>выделения</w:t>
      </w:r>
      <w:r w:rsidR="00D7575F">
        <w:rPr>
          <w:rFonts w:eastAsia="Calibri"/>
          <w:lang w:eastAsia="en-US"/>
        </w:rPr>
        <w:t xml:space="preserve"> субсидии </w:t>
      </w:r>
      <w:r w:rsidR="00505468">
        <w:rPr>
          <w:rFonts w:eastAsia="Calibri"/>
          <w:lang w:eastAsia="en-US"/>
        </w:rPr>
        <w:t xml:space="preserve">для ликвидации чрезвычайных ситуаций на </w:t>
      </w:r>
      <w:r w:rsidRPr="004D2307">
        <w:rPr>
          <w:rFonts w:eastAsia="Calibri"/>
        </w:rPr>
        <w:t>мероприяти</w:t>
      </w:r>
      <w:r w:rsidR="00505468">
        <w:rPr>
          <w:rFonts w:eastAsia="Calibri"/>
        </w:rPr>
        <w:t>я</w:t>
      </w:r>
      <w:r w:rsidRPr="004D2307">
        <w:rPr>
          <w:rFonts w:eastAsia="Calibri"/>
        </w:rPr>
        <w:t xml:space="preserve"> </w:t>
      </w:r>
      <w:r w:rsidR="0039684E">
        <w:rPr>
          <w:rFonts w:eastAsia="Calibri"/>
        </w:rPr>
        <w:t>подпрограммы «</w:t>
      </w:r>
      <w:r w:rsidR="00065CD8">
        <w:rPr>
          <w:rFonts w:eastAsia="Calibri"/>
        </w:rPr>
        <w:t>З</w:t>
      </w:r>
      <w:r w:rsidR="0039684E">
        <w:rPr>
          <w:rFonts w:eastAsia="Calibri"/>
        </w:rPr>
        <w:t>ащита от наводнений населенных пунктов ЛГО»</w:t>
      </w:r>
      <w:r w:rsidRPr="004D2307">
        <w:rPr>
          <w:rFonts w:eastAsia="Calibri"/>
        </w:rPr>
        <w:t>.</w:t>
      </w:r>
    </w:p>
    <w:p w:rsidR="0039684E" w:rsidRDefault="00521C7C" w:rsidP="00521C7C">
      <w:pPr>
        <w:ind w:firstLine="708"/>
        <w:jc w:val="both"/>
        <w:rPr>
          <w:rFonts w:eastAsia="Calibri"/>
          <w:lang w:eastAsia="en-US"/>
        </w:rPr>
      </w:pPr>
      <w:proofErr w:type="gramStart"/>
      <w:r w:rsidRPr="004D2307">
        <w:rPr>
          <w:rFonts w:eastAsia="Calibri"/>
          <w:lang w:eastAsia="en-US"/>
        </w:rPr>
        <w:lastRenderedPageBreak/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="0039684E">
        <w:rPr>
          <w:rFonts w:eastAsia="Calibri"/>
          <w:b/>
          <w:lang w:eastAsia="en-US"/>
        </w:rPr>
        <w:t xml:space="preserve">0500 </w:t>
      </w:r>
      <w:r w:rsidRPr="004D2307">
        <w:rPr>
          <w:rFonts w:eastAsia="Calibri"/>
          <w:b/>
          <w:lang w:eastAsia="en-US"/>
        </w:rPr>
        <w:t>«</w:t>
      </w:r>
      <w:r w:rsidR="0039684E">
        <w:rPr>
          <w:rFonts w:eastAsia="Calibri"/>
          <w:b/>
          <w:lang w:eastAsia="en-US"/>
        </w:rPr>
        <w:t>Жилищно-коммунальное хозяйство</w:t>
      </w:r>
      <w:r>
        <w:rPr>
          <w:rFonts w:eastAsia="Calibri"/>
          <w:b/>
          <w:lang w:eastAsia="en-US"/>
        </w:rPr>
        <w:t>»</w:t>
      </w:r>
      <w:r w:rsidRPr="004D2307">
        <w:rPr>
          <w:rFonts w:eastAsia="Calibri"/>
          <w:lang w:eastAsia="en-US"/>
        </w:rPr>
        <w:t xml:space="preserve"> </w:t>
      </w:r>
      <w:r w:rsidR="002C0C54">
        <w:rPr>
          <w:rFonts w:eastAsia="Calibri"/>
          <w:lang w:eastAsia="en-US"/>
        </w:rPr>
        <w:t xml:space="preserve">средства местного бюджета </w:t>
      </w:r>
      <w:r w:rsidR="0039684E">
        <w:rPr>
          <w:rFonts w:eastAsia="Calibri"/>
          <w:lang w:eastAsia="en-US"/>
        </w:rPr>
        <w:t xml:space="preserve">в сумме 828,91 тыс. руб. перераспределяются </w:t>
      </w:r>
      <w:r w:rsidR="00F4158D">
        <w:rPr>
          <w:rFonts w:eastAsia="Calibri"/>
          <w:lang w:eastAsia="en-US"/>
        </w:rPr>
        <w:t>с</w:t>
      </w:r>
      <w:r w:rsidR="0039684E">
        <w:rPr>
          <w:rFonts w:eastAsia="Calibri"/>
          <w:lang w:eastAsia="en-US"/>
        </w:rPr>
        <w:t xml:space="preserve"> </w:t>
      </w:r>
      <w:r w:rsidR="00E45DA2">
        <w:rPr>
          <w:rFonts w:eastAsia="Calibri"/>
          <w:lang w:eastAsia="en-US"/>
        </w:rPr>
        <w:t xml:space="preserve">мероприятий </w:t>
      </w:r>
      <w:r w:rsidR="00F4158D">
        <w:rPr>
          <w:rFonts w:eastAsia="Calibri"/>
          <w:lang w:eastAsia="en-US"/>
        </w:rPr>
        <w:t xml:space="preserve">по ремонту канализационной сети (подраздел </w:t>
      </w:r>
      <w:r w:rsidR="0039684E">
        <w:rPr>
          <w:rFonts w:eastAsia="Calibri"/>
          <w:lang w:eastAsia="en-US"/>
        </w:rPr>
        <w:t>0502 «Коммунальное хозяйство»</w:t>
      </w:r>
      <w:r w:rsidR="00F4158D">
        <w:rPr>
          <w:rFonts w:eastAsia="Calibri"/>
          <w:lang w:eastAsia="en-US"/>
        </w:rPr>
        <w:t xml:space="preserve">) на мероприятия </w:t>
      </w:r>
      <w:r w:rsidR="00BD23EF">
        <w:rPr>
          <w:rFonts w:eastAsia="Calibri"/>
          <w:lang w:eastAsia="en-US"/>
        </w:rPr>
        <w:t xml:space="preserve">по переселению граждан из аварийного жилищного фонда </w:t>
      </w:r>
      <w:r w:rsidR="00EE622F">
        <w:rPr>
          <w:rFonts w:eastAsia="Calibri"/>
          <w:lang w:eastAsia="en-US"/>
        </w:rPr>
        <w:t xml:space="preserve">(подраздел 0501 «Жилищное хозяйство») </w:t>
      </w:r>
      <w:r w:rsidR="00BD23EF">
        <w:rPr>
          <w:rFonts w:eastAsia="Calibri"/>
          <w:lang w:eastAsia="en-US"/>
        </w:rPr>
        <w:t>на оплату задолженности (102,2 тыс. руб.)</w:t>
      </w:r>
      <w:r w:rsidR="00813222">
        <w:rPr>
          <w:rFonts w:eastAsia="Calibri"/>
          <w:lang w:eastAsia="en-US"/>
        </w:rPr>
        <w:t xml:space="preserve">, </w:t>
      </w:r>
      <w:r w:rsidR="00BD23EF">
        <w:rPr>
          <w:rFonts w:eastAsia="Calibri"/>
          <w:lang w:eastAsia="en-US"/>
        </w:rPr>
        <w:t>на обследование, проведение экспертизы (583 тыс. руб.)</w:t>
      </w:r>
      <w:r w:rsidR="002C0C54">
        <w:rPr>
          <w:rFonts w:eastAsia="Calibri"/>
          <w:lang w:eastAsia="en-US"/>
        </w:rPr>
        <w:t xml:space="preserve"> и</w:t>
      </w:r>
      <w:r w:rsidR="00BD23EF">
        <w:rPr>
          <w:rFonts w:eastAsia="Calibri"/>
          <w:lang w:eastAsia="en-US"/>
        </w:rPr>
        <w:t xml:space="preserve"> для выполнения условий </w:t>
      </w:r>
      <w:proofErr w:type="spellStart"/>
      <w:r w:rsidR="00BD23EF">
        <w:rPr>
          <w:rFonts w:eastAsia="Calibri"/>
          <w:lang w:eastAsia="en-US"/>
        </w:rPr>
        <w:t>софинансирования</w:t>
      </w:r>
      <w:proofErr w:type="spellEnd"/>
      <w:r w:rsidR="00BD23EF">
        <w:rPr>
          <w:rFonts w:eastAsia="Calibri"/>
          <w:lang w:eastAsia="en-US"/>
        </w:rPr>
        <w:t xml:space="preserve"> (143,7 тыс. руб.)</w:t>
      </w:r>
      <w:r w:rsidR="00813222">
        <w:rPr>
          <w:rFonts w:eastAsia="Calibri"/>
          <w:lang w:eastAsia="en-US"/>
        </w:rPr>
        <w:t xml:space="preserve"> новой подпрограммы</w:t>
      </w:r>
      <w:proofErr w:type="gramEnd"/>
      <w:r w:rsidR="00813222">
        <w:rPr>
          <w:rFonts w:eastAsia="Calibri"/>
          <w:lang w:eastAsia="en-US"/>
        </w:rPr>
        <w:t xml:space="preserve"> «О переселении граждан из аварийного жилищного фонда ЛГО на 2019-20</w:t>
      </w:r>
      <w:r w:rsidR="00296695">
        <w:rPr>
          <w:rFonts w:eastAsia="Calibri"/>
          <w:lang w:eastAsia="en-US"/>
        </w:rPr>
        <w:t>2</w:t>
      </w:r>
      <w:r w:rsidR="00813222">
        <w:rPr>
          <w:rFonts w:eastAsia="Calibri"/>
          <w:lang w:eastAsia="en-US"/>
        </w:rPr>
        <w:t>5 годы»</w:t>
      </w:r>
      <w:r w:rsidR="00BD23EF">
        <w:rPr>
          <w:rFonts w:eastAsia="Calibri"/>
          <w:lang w:eastAsia="en-US"/>
        </w:rPr>
        <w:t xml:space="preserve">. </w:t>
      </w:r>
    </w:p>
    <w:p w:rsidR="00A86625" w:rsidRPr="009A67DE" w:rsidRDefault="00A86625" w:rsidP="00A86625">
      <w:pPr>
        <w:ind w:firstLine="709"/>
        <w:jc w:val="both"/>
        <w:rPr>
          <w:rFonts w:eastAsia="Calibri"/>
          <w:lang w:eastAsia="en-US"/>
        </w:rPr>
      </w:pPr>
      <w:r w:rsidRPr="009A67DE">
        <w:rPr>
          <w:rFonts w:eastAsia="Calibri"/>
          <w:lang w:eastAsia="en-US"/>
        </w:rPr>
        <w:t xml:space="preserve">По разделу </w:t>
      </w:r>
      <w:r w:rsidRPr="002B2A52">
        <w:rPr>
          <w:rFonts w:eastAsia="Calibri"/>
          <w:b/>
          <w:lang w:eastAsia="en-US"/>
        </w:rPr>
        <w:t>0700 «</w:t>
      </w:r>
      <w:r>
        <w:rPr>
          <w:rFonts w:eastAsia="Calibri"/>
          <w:b/>
          <w:lang w:eastAsia="en-US"/>
        </w:rPr>
        <w:t>Образование</w:t>
      </w:r>
      <w:r w:rsidRPr="009A67DE">
        <w:rPr>
          <w:rFonts w:eastAsia="Calibri"/>
          <w:lang w:eastAsia="en-US"/>
        </w:rPr>
        <w:t xml:space="preserve">» расходы увеличиваются на </w:t>
      </w:r>
      <w:r w:rsidRPr="002C0C54">
        <w:rPr>
          <w:rFonts w:eastAsia="Calibri"/>
          <w:b/>
          <w:lang w:eastAsia="en-US"/>
        </w:rPr>
        <w:t>20039,91</w:t>
      </w:r>
      <w:r>
        <w:rPr>
          <w:rFonts w:eastAsia="Calibri"/>
          <w:lang w:eastAsia="en-US"/>
        </w:rPr>
        <w:t xml:space="preserve"> </w:t>
      </w:r>
      <w:r w:rsidRPr="009A67DE">
        <w:rPr>
          <w:rFonts w:eastAsia="Calibri"/>
          <w:lang w:eastAsia="en-US"/>
        </w:rPr>
        <w:t xml:space="preserve">тыс. руб. и составят </w:t>
      </w:r>
      <w:r>
        <w:rPr>
          <w:rFonts w:eastAsia="Calibri"/>
          <w:lang w:eastAsia="en-US"/>
        </w:rPr>
        <w:t>721405,28</w:t>
      </w:r>
      <w:r w:rsidRPr="009A67DE">
        <w:rPr>
          <w:rFonts w:eastAsia="Calibri"/>
          <w:lang w:eastAsia="en-US"/>
        </w:rPr>
        <w:t xml:space="preserve"> тыс. руб.</w:t>
      </w:r>
      <w:r>
        <w:rPr>
          <w:rFonts w:eastAsia="Calibri"/>
          <w:lang w:eastAsia="en-US"/>
        </w:rPr>
        <w:t>, в том числе</w:t>
      </w:r>
      <w:r w:rsidRPr="009A67DE">
        <w:rPr>
          <w:rFonts w:eastAsia="Calibri"/>
          <w:lang w:eastAsia="en-US"/>
        </w:rPr>
        <w:t>:</w:t>
      </w:r>
    </w:p>
    <w:p w:rsidR="002E24CB" w:rsidRDefault="002E24CB" w:rsidP="002E24CB">
      <w:pPr>
        <w:ind w:firstLine="709"/>
        <w:jc w:val="both"/>
        <w:rPr>
          <w:rFonts w:eastAsia="Calibri"/>
          <w:lang w:eastAsia="en-US"/>
        </w:rPr>
      </w:pPr>
      <w:r w:rsidRPr="00FF62B8">
        <w:rPr>
          <w:rFonts w:eastAsia="Calibri"/>
          <w:lang w:eastAsia="en-US"/>
        </w:rPr>
        <w:t xml:space="preserve">– </w:t>
      </w:r>
      <w:r>
        <w:rPr>
          <w:rFonts w:eastAsia="Calibri"/>
          <w:lang w:eastAsia="en-US"/>
        </w:rPr>
        <w:t xml:space="preserve">подраздел 0709 «Другие вопросы в области образования» - сокращаются </w:t>
      </w:r>
      <w:r w:rsidR="00C440F2">
        <w:rPr>
          <w:rFonts w:eastAsia="Calibri"/>
          <w:lang w:eastAsia="en-US"/>
        </w:rPr>
        <w:t xml:space="preserve">непрограммные </w:t>
      </w:r>
      <w:r>
        <w:rPr>
          <w:rFonts w:eastAsia="Calibri"/>
          <w:lang w:eastAsia="en-US"/>
        </w:rPr>
        <w:t xml:space="preserve">расходы </w:t>
      </w:r>
      <w:r w:rsidR="00C440F2">
        <w:rPr>
          <w:rFonts w:eastAsia="Calibri"/>
          <w:lang w:eastAsia="en-US"/>
        </w:rPr>
        <w:t>в сумме</w:t>
      </w:r>
      <w:r>
        <w:rPr>
          <w:rFonts w:eastAsia="Calibri"/>
          <w:lang w:eastAsia="en-US"/>
        </w:rPr>
        <w:t xml:space="preserve"> </w:t>
      </w:r>
      <w:r w:rsidR="00C440F2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0300 тыс. руб. в связи с перемещением бюджетных ассигнований, предусмотренных  </w:t>
      </w:r>
      <w:r w:rsidR="00C440F2">
        <w:rPr>
          <w:rFonts w:eastAsia="Calibri"/>
          <w:lang w:eastAsia="en-US"/>
        </w:rPr>
        <w:t xml:space="preserve">по МКУ «Управление образования» </w:t>
      </w:r>
      <w:r>
        <w:rPr>
          <w:rFonts w:eastAsia="Calibri"/>
          <w:lang w:eastAsia="en-US"/>
        </w:rPr>
        <w:t xml:space="preserve">на исполнение судебных решений (задолженность по </w:t>
      </w:r>
      <w:r w:rsidR="001D3819">
        <w:rPr>
          <w:rFonts w:eastAsia="Calibri"/>
          <w:lang w:eastAsia="en-US"/>
        </w:rPr>
        <w:t>страховым взносам</w:t>
      </w:r>
      <w:r>
        <w:rPr>
          <w:rFonts w:eastAsia="Calibri"/>
          <w:lang w:eastAsia="en-US"/>
        </w:rPr>
        <w:t>, теплоснабжени</w:t>
      </w:r>
      <w:r w:rsidR="001D3819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, содержани</w:t>
      </w:r>
      <w:r w:rsidR="001D3819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 xml:space="preserve"> имущества) на </w:t>
      </w:r>
      <w:r w:rsidR="00C440F2">
        <w:rPr>
          <w:rFonts w:eastAsia="Calibri"/>
          <w:lang w:eastAsia="en-US"/>
        </w:rPr>
        <w:t>финансирование образовательных учреждений</w:t>
      </w:r>
      <w:r>
        <w:rPr>
          <w:rFonts w:eastAsia="Calibri"/>
          <w:lang w:eastAsia="en-US"/>
        </w:rPr>
        <w:t>.</w:t>
      </w:r>
    </w:p>
    <w:p w:rsidR="00A86625" w:rsidRDefault="00A86625" w:rsidP="00A86625">
      <w:pPr>
        <w:ind w:firstLine="709"/>
        <w:jc w:val="both"/>
        <w:rPr>
          <w:rFonts w:eastAsia="Calibri"/>
          <w:lang w:eastAsia="en-US"/>
        </w:rPr>
      </w:pPr>
      <w:r w:rsidRPr="00FF62B8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 xml:space="preserve">подраздел 0701 «Дошкольное образование» - увеличиваются </w:t>
      </w:r>
      <w:r w:rsidR="009C2B35">
        <w:rPr>
          <w:rFonts w:eastAsia="Calibri"/>
          <w:lang w:eastAsia="en-US"/>
        </w:rPr>
        <w:t xml:space="preserve">расходы в сумме 7669 тыс. руб. </w:t>
      </w:r>
      <w:r w:rsidR="00516A36">
        <w:rPr>
          <w:rFonts w:eastAsia="Calibri"/>
          <w:lang w:eastAsia="en-US"/>
        </w:rPr>
        <w:t xml:space="preserve">на обеспечение деятельности дошкольных учреждений </w:t>
      </w:r>
      <w:r w:rsidRPr="00FF62B8">
        <w:rPr>
          <w:rFonts w:eastAsia="Calibri"/>
          <w:lang w:eastAsia="en-US"/>
        </w:rPr>
        <w:t xml:space="preserve">за счет </w:t>
      </w:r>
      <w:r w:rsidR="00516A36">
        <w:rPr>
          <w:rFonts w:eastAsia="Calibri"/>
          <w:lang w:eastAsia="en-US"/>
        </w:rPr>
        <w:t>поступления дотации (2769 тыс. руб.)</w:t>
      </w:r>
      <w:r w:rsidR="003C5C21">
        <w:rPr>
          <w:rFonts w:eastAsia="Calibri"/>
          <w:lang w:eastAsia="en-US"/>
        </w:rPr>
        <w:t xml:space="preserve"> и</w:t>
      </w:r>
      <w:r w:rsidR="00516A36">
        <w:rPr>
          <w:rFonts w:eastAsia="Calibri"/>
          <w:lang w:eastAsia="en-US"/>
        </w:rPr>
        <w:t xml:space="preserve"> за счет перемещений расходов на исполнение судебных решений, предусмотренных </w:t>
      </w:r>
      <w:r w:rsidR="00F70ECD">
        <w:rPr>
          <w:rFonts w:eastAsia="Calibri"/>
          <w:lang w:eastAsia="en-US"/>
        </w:rPr>
        <w:t xml:space="preserve">по </w:t>
      </w:r>
      <w:r w:rsidR="00516A36">
        <w:rPr>
          <w:rFonts w:eastAsia="Calibri"/>
          <w:lang w:eastAsia="en-US"/>
        </w:rPr>
        <w:t xml:space="preserve">МКУ «Управление образования» </w:t>
      </w:r>
      <w:r w:rsidR="00F03575">
        <w:rPr>
          <w:rFonts w:eastAsia="Calibri"/>
          <w:lang w:eastAsia="en-US"/>
        </w:rPr>
        <w:t>(</w:t>
      </w:r>
      <w:r w:rsidR="00516A36">
        <w:rPr>
          <w:rFonts w:eastAsia="Calibri"/>
          <w:lang w:eastAsia="en-US"/>
        </w:rPr>
        <w:t>4900 тыс. руб.)</w:t>
      </w:r>
      <w:r>
        <w:rPr>
          <w:rFonts w:eastAsia="Calibri"/>
          <w:lang w:eastAsia="en-US"/>
        </w:rPr>
        <w:t>,</w:t>
      </w:r>
    </w:p>
    <w:p w:rsidR="00F70ECD" w:rsidRDefault="00A86625" w:rsidP="00A86625">
      <w:pPr>
        <w:ind w:firstLine="709"/>
        <w:jc w:val="both"/>
        <w:rPr>
          <w:rFonts w:eastAsia="Calibri"/>
          <w:lang w:eastAsia="en-US"/>
        </w:rPr>
      </w:pPr>
      <w:proofErr w:type="gramStart"/>
      <w:r w:rsidRPr="00FF62B8">
        <w:rPr>
          <w:rFonts w:eastAsia="Calibri"/>
          <w:lang w:eastAsia="en-US"/>
        </w:rPr>
        <w:t xml:space="preserve">– </w:t>
      </w:r>
      <w:r w:rsidR="00516A36">
        <w:rPr>
          <w:rFonts w:eastAsia="Calibri"/>
          <w:lang w:eastAsia="en-US"/>
        </w:rPr>
        <w:t xml:space="preserve">подраздел 0702 «Общее образование» - увеличиваются </w:t>
      </w:r>
      <w:r w:rsidR="009C2B35">
        <w:rPr>
          <w:rFonts w:eastAsia="Calibri"/>
          <w:lang w:eastAsia="en-US"/>
        </w:rPr>
        <w:t xml:space="preserve">расходы на </w:t>
      </w:r>
      <w:r w:rsidR="00516A36">
        <w:rPr>
          <w:rFonts w:eastAsia="Calibri"/>
          <w:lang w:eastAsia="en-US"/>
        </w:rPr>
        <w:t>14744,23</w:t>
      </w:r>
      <w:r>
        <w:rPr>
          <w:rFonts w:eastAsia="Calibri"/>
          <w:lang w:eastAsia="en-US"/>
        </w:rPr>
        <w:t xml:space="preserve"> тыс. руб.</w:t>
      </w:r>
      <w:r w:rsidR="00F03575">
        <w:rPr>
          <w:rFonts w:eastAsia="Calibri"/>
          <w:lang w:eastAsia="en-US"/>
        </w:rPr>
        <w:t xml:space="preserve">, в том числе </w:t>
      </w:r>
      <w:r w:rsidR="00F70ECD">
        <w:rPr>
          <w:rFonts w:eastAsia="Calibri"/>
          <w:lang w:eastAsia="en-US"/>
        </w:rPr>
        <w:t xml:space="preserve">на обеспечение деятельности школ </w:t>
      </w:r>
      <w:r w:rsidR="00F03575">
        <w:rPr>
          <w:rFonts w:eastAsia="Calibri"/>
          <w:lang w:eastAsia="en-US"/>
        </w:rPr>
        <w:t xml:space="preserve">в сумме 7900 тыс. руб. </w:t>
      </w:r>
      <w:r w:rsidR="00F70ECD">
        <w:rPr>
          <w:rFonts w:eastAsia="Calibri"/>
          <w:lang w:eastAsia="en-US"/>
        </w:rPr>
        <w:t>з</w:t>
      </w:r>
      <w:r w:rsidRPr="00FF62B8">
        <w:rPr>
          <w:rFonts w:eastAsia="Calibri"/>
          <w:lang w:eastAsia="en-US"/>
        </w:rPr>
        <w:t xml:space="preserve">а счет увеличения </w:t>
      </w:r>
      <w:r w:rsidR="00516A36">
        <w:rPr>
          <w:rFonts w:eastAsia="Calibri"/>
          <w:lang w:eastAsia="en-US"/>
        </w:rPr>
        <w:t>дотации (3000 тыс. руб.)</w:t>
      </w:r>
      <w:r w:rsidR="003C5C21">
        <w:rPr>
          <w:rFonts w:eastAsia="Calibri"/>
          <w:lang w:eastAsia="en-US"/>
        </w:rPr>
        <w:t xml:space="preserve"> и</w:t>
      </w:r>
      <w:r w:rsidR="00516A36">
        <w:rPr>
          <w:rFonts w:eastAsia="Calibri"/>
          <w:lang w:eastAsia="en-US"/>
        </w:rPr>
        <w:t xml:space="preserve"> </w:t>
      </w:r>
      <w:r w:rsidR="00F70ECD">
        <w:rPr>
          <w:rFonts w:eastAsia="Calibri"/>
          <w:lang w:eastAsia="en-US"/>
        </w:rPr>
        <w:t>за счет перемещений расходов на исполнение судебных решений, предусмотренных по МКУ «Управление образования» (</w:t>
      </w:r>
      <w:r w:rsidR="00F03575">
        <w:rPr>
          <w:rFonts w:eastAsia="Calibri"/>
          <w:lang w:eastAsia="en-US"/>
        </w:rPr>
        <w:t>4900 тыс. руб.),</w:t>
      </w:r>
      <w:r w:rsidR="003C5C21">
        <w:rPr>
          <w:rFonts w:eastAsia="Calibri"/>
          <w:lang w:eastAsia="en-US"/>
        </w:rPr>
        <w:t xml:space="preserve"> </w:t>
      </w:r>
      <w:r w:rsidR="00C440F2">
        <w:rPr>
          <w:rFonts w:eastAsia="Calibri"/>
          <w:lang w:eastAsia="en-US"/>
        </w:rPr>
        <w:t xml:space="preserve">а также </w:t>
      </w:r>
      <w:r w:rsidR="00F03575">
        <w:rPr>
          <w:rFonts w:eastAsia="Calibri"/>
          <w:lang w:eastAsia="en-US"/>
        </w:rPr>
        <w:t>з</w:t>
      </w:r>
      <w:r w:rsidR="003C5C21">
        <w:rPr>
          <w:rFonts w:eastAsia="Calibri"/>
          <w:lang w:eastAsia="en-US"/>
        </w:rPr>
        <w:t>а счет поступления субсидии в сумме 6844,23</w:t>
      </w:r>
      <w:r w:rsidR="00F03575">
        <w:rPr>
          <w:rFonts w:eastAsia="Calibri"/>
          <w:lang w:eastAsia="en-US"/>
        </w:rPr>
        <w:t xml:space="preserve"> тыс. руб. на капитальный ремонт</w:t>
      </w:r>
      <w:proofErr w:type="gramEnd"/>
      <w:r w:rsidR="00F03575">
        <w:rPr>
          <w:rFonts w:eastAsia="Calibri"/>
          <w:lang w:eastAsia="en-US"/>
        </w:rPr>
        <w:t xml:space="preserve"> здани</w:t>
      </w:r>
      <w:r w:rsidR="002C0C54">
        <w:rPr>
          <w:rFonts w:eastAsia="Calibri"/>
          <w:lang w:eastAsia="en-US"/>
        </w:rPr>
        <w:t>й</w:t>
      </w:r>
      <w:r w:rsidR="00F03575">
        <w:rPr>
          <w:rFonts w:eastAsia="Calibri"/>
          <w:lang w:eastAsia="en-US"/>
        </w:rPr>
        <w:t xml:space="preserve"> школ №3, </w:t>
      </w:r>
      <w:r w:rsidR="00C440F2">
        <w:rPr>
          <w:rFonts w:eastAsia="Calibri"/>
          <w:lang w:eastAsia="en-US"/>
        </w:rPr>
        <w:t>№</w:t>
      </w:r>
      <w:r w:rsidR="00F03575">
        <w:rPr>
          <w:rFonts w:eastAsia="Calibri"/>
          <w:lang w:eastAsia="en-US"/>
        </w:rPr>
        <w:t>34, с</w:t>
      </w:r>
      <w:r w:rsidR="002C0C54">
        <w:rPr>
          <w:rFonts w:eastAsia="Calibri"/>
          <w:lang w:eastAsia="en-US"/>
        </w:rPr>
        <w:t>.</w:t>
      </w:r>
      <w:r w:rsidR="00F03575">
        <w:rPr>
          <w:rFonts w:eastAsia="Calibri"/>
          <w:lang w:eastAsia="en-US"/>
        </w:rPr>
        <w:t xml:space="preserve"> </w:t>
      </w:r>
      <w:proofErr w:type="spellStart"/>
      <w:r w:rsidR="00F03575">
        <w:rPr>
          <w:rFonts w:eastAsia="Calibri"/>
          <w:lang w:eastAsia="en-US"/>
        </w:rPr>
        <w:t>Марково</w:t>
      </w:r>
      <w:proofErr w:type="spellEnd"/>
      <w:r w:rsidR="00F03575">
        <w:rPr>
          <w:rFonts w:eastAsia="Calibri"/>
          <w:lang w:eastAsia="en-US"/>
        </w:rPr>
        <w:t>.</w:t>
      </w:r>
    </w:p>
    <w:p w:rsidR="00F70ECD" w:rsidRDefault="00F70ECD" w:rsidP="00F70ECD">
      <w:pPr>
        <w:ind w:firstLine="709"/>
        <w:jc w:val="both"/>
        <w:rPr>
          <w:rFonts w:eastAsia="Calibri"/>
          <w:lang w:eastAsia="en-US"/>
        </w:rPr>
      </w:pPr>
      <w:proofErr w:type="gramStart"/>
      <w:r w:rsidRPr="00FF62B8">
        <w:rPr>
          <w:rFonts w:eastAsia="Calibri"/>
          <w:lang w:eastAsia="en-US"/>
        </w:rPr>
        <w:t xml:space="preserve">– </w:t>
      </w:r>
      <w:r>
        <w:rPr>
          <w:rFonts w:eastAsia="Calibri"/>
          <w:lang w:eastAsia="en-US"/>
        </w:rPr>
        <w:t xml:space="preserve">подраздел 0703 «Дополнительное образование детей» - увеличиваются </w:t>
      </w:r>
      <w:r w:rsidR="009C2B35">
        <w:rPr>
          <w:rFonts w:eastAsia="Calibri"/>
          <w:lang w:eastAsia="en-US"/>
        </w:rPr>
        <w:t xml:space="preserve">расходы </w:t>
      </w:r>
      <w:r>
        <w:rPr>
          <w:rFonts w:eastAsia="Calibri"/>
          <w:lang w:eastAsia="en-US"/>
        </w:rPr>
        <w:t xml:space="preserve">на </w:t>
      </w:r>
      <w:r w:rsidR="003C5C21">
        <w:rPr>
          <w:rFonts w:eastAsia="Calibri"/>
          <w:lang w:eastAsia="en-US"/>
        </w:rPr>
        <w:t>7926,68</w:t>
      </w:r>
      <w:r>
        <w:rPr>
          <w:rFonts w:eastAsia="Calibri"/>
          <w:lang w:eastAsia="en-US"/>
        </w:rPr>
        <w:t xml:space="preserve"> тыс. руб.</w:t>
      </w:r>
      <w:r w:rsidR="003C5C21">
        <w:rPr>
          <w:rFonts w:eastAsia="Calibri"/>
          <w:lang w:eastAsia="en-US"/>
        </w:rPr>
        <w:t xml:space="preserve">, в том числе </w:t>
      </w:r>
      <w:r w:rsidR="00F03575">
        <w:rPr>
          <w:rFonts w:eastAsia="Calibri"/>
          <w:lang w:eastAsia="en-US"/>
        </w:rPr>
        <w:t xml:space="preserve">в сумме 500 тыс. руб. </w:t>
      </w:r>
      <w:r w:rsidR="003C5C21">
        <w:rPr>
          <w:rFonts w:eastAsia="Calibri"/>
          <w:lang w:eastAsia="en-US"/>
        </w:rPr>
        <w:t xml:space="preserve">на обеспечение деятельности </w:t>
      </w:r>
      <w:r w:rsidR="00F03575" w:rsidRPr="00F03575">
        <w:rPr>
          <w:rFonts w:eastAsia="Calibri"/>
          <w:lang w:eastAsia="en-US"/>
        </w:rPr>
        <w:t xml:space="preserve">учреждений дополнительного образования </w:t>
      </w:r>
      <w:r w:rsidR="00F03575">
        <w:rPr>
          <w:rFonts w:eastAsia="Calibri"/>
          <w:lang w:eastAsia="en-US"/>
        </w:rPr>
        <w:t>за счет перемещений расходов на исполнение судебных решений, предусмотренных по МКУ «Управление образования»</w:t>
      </w:r>
      <w:r w:rsidR="00F03575" w:rsidRPr="00F03575">
        <w:rPr>
          <w:rFonts w:eastAsia="Calibri"/>
          <w:lang w:eastAsia="en-US"/>
        </w:rPr>
        <w:t xml:space="preserve">, </w:t>
      </w:r>
      <w:r w:rsidR="00F03575">
        <w:rPr>
          <w:rFonts w:eastAsia="Calibri"/>
          <w:lang w:eastAsia="en-US"/>
        </w:rPr>
        <w:t xml:space="preserve">в сумме 1000 тыс. руб. на обеспечение деятельности школы искусств </w:t>
      </w:r>
      <w:r>
        <w:rPr>
          <w:rFonts w:eastAsia="Calibri"/>
          <w:lang w:eastAsia="en-US"/>
        </w:rPr>
        <w:t>з</w:t>
      </w:r>
      <w:r w:rsidRPr="00FF62B8">
        <w:rPr>
          <w:rFonts w:eastAsia="Calibri"/>
          <w:lang w:eastAsia="en-US"/>
        </w:rPr>
        <w:t xml:space="preserve">а счет увеличения </w:t>
      </w:r>
      <w:r>
        <w:rPr>
          <w:rFonts w:eastAsia="Calibri"/>
          <w:lang w:eastAsia="en-US"/>
        </w:rPr>
        <w:t>дотации</w:t>
      </w:r>
      <w:r w:rsidR="009C2B35">
        <w:rPr>
          <w:rFonts w:eastAsia="Calibri"/>
          <w:lang w:eastAsia="en-US"/>
        </w:rPr>
        <w:t>,</w:t>
      </w:r>
      <w:r w:rsidR="002C0C54">
        <w:rPr>
          <w:rFonts w:eastAsia="Calibri"/>
          <w:lang w:eastAsia="en-US"/>
        </w:rPr>
        <w:t xml:space="preserve"> и в сумме 6426,68 тыс. руб. </w:t>
      </w:r>
      <w:r>
        <w:rPr>
          <w:rFonts w:eastAsia="Calibri"/>
          <w:lang w:eastAsia="en-US"/>
        </w:rPr>
        <w:t>за счет</w:t>
      </w:r>
      <w:proofErr w:type="gramEnd"/>
      <w:r>
        <w:rPr>
          <w:rFonts w:eastAsia="Calibri"/>
          <w:lang w:eastAsia="en-US"/>
        </w:rPr>
        <w:t xml:space="preserve"> </w:t>
      </w:r>
      <w:r w:rsidR="002C0C54">
        <w:rPr>
          <w:rFonts w:eastAsia="Calibri"/>
          <w:lang w:eastAsia="en-US"/>
        </w:rPr>
        <w:t xml:space="preserve">поступления субсидии </w:t>
      </w:r>
      <w:r w:rsidR="00C440F2">
        <w:rPr>
          <w:rFonts w:eastAsia="Calibri"/>
          <w:lang w:eastAsia="en-US"/>
        </w:rPr>
        <w:t xml:space="preserve">краевого бюджета </w:t>
      </w:r>
      <w:r w:rsidR="002C0C54">
        <w:rPr>
          <w:rFonts w:eastAsia="Calibri"/>
          <w:lang w:eastAsia="en-US"/>
        </w:rPr>
        <w:t>на оснащение школы искусств музыкальными инструментами, оборудованием, учебными материалами</w:t>
      </w:r>
      <w:r w:rsidR="00F03575">
        <w:rPr>
          <w:rFonts w:eastAsia="Calibri"/>
          <w:lang w:eastAsia="en-US"/>
        </w:rPr>
        <w:t>.</w:t>
      </w:r>
    </w:p>
    <w:p w:rsidR="00850F20" w:rsidRDefault="00850F20" w:rsidP="00F70ECD">
      <w:pPr>
        <w:ind w:firstLine="709"/>
        <w:jc w:val="both"/>
        <w:rPr>
          <w:rFonts w:eastAsia="Calibri"/>
          <w:lang w:eastAsia="en-US"/>
        </w:rPr>
      </w:pPr>
      <w:r w:rsidRPr="00E7153E">
        <w:rPr>
          <w:rFonts w:eastAsia="Calibri"/>
          <w:lang w:eastAsia="en-US"/>
        </w:rPr>
        <w:t>По разделу</w:t>
      </w:r>
      <w:r w:rsidRPr="00850F20">
        <w:rPr>
          <w:rFonts w:eastAsia="Calibri"/>
          <w:b/>
          <w:lang w:eastAsia="en-US"/>
        </w:rPr>
        <w:t xml:space="preserve"> 0800 «Культура, кинематография»</w:t>
      </w:r>
      <w:r>
        <w:rPr>
          <w:rFonts w:eastAsia="Calibri"/>
          <w:lang w:eastAsia="en-US"/>
        </w:rPr>
        <w:t xml:space="preserve"> уменьшаются расходы на сумму 190</w:t>
      </w:r>
      <w:r w:rsidR="00D26A50">
        <w:rPr>
          <w:rFonts w:eastAsia="Calibri"/>
          <w:lang w:eastAsia="en-US"/>
        </w:rPr>
        <w:t>98</w:t>
      </w:r>
      <w:r>
        <w:rPr>
          <w:rFonts w:eastAsia="Calibri"/>
          <w:lang w:eastAsia="en-US"/>
        </w:rPr>
        <w:t>,1</w:t>
      </w:r>
      <w:r w:rsidR="00D26A50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 xml:space="preserve"> тыс. руб. </w:t>
      </w:r>
      <w:r w:rsidR="00D26A50">
        <w:rPr>
          <w:rFonts w:eastAsia="Calibri"/>
          <w:lang w:eastAsia="en-US"/>
        </w:rPr>
        <w:t xml:space="preserve">и составят 57237,65 тыс. руб., в </w:t>
      </w:r>
      <w:r>
        <w:rPr>
          <w:rFonts w:eastAsia="Calibri"/>
          <w:lang w:eastAsia="en-US"/>
        </w:rPr>
        <w:t xml:space="preserve">связи с исключением </w:t>
      </w:r>
      <w:r w:rsidR="00067473" w:rsidRPr="00067473">
        <w:rPr>
          <w:rFonts w:eastAsia="Calibri"/>
          <w:lang w:eastAsia="en-US"/>
        </w:rPr>
        <w:t xml:space="preserve">Лесозаводского городского округа </w:t>
      </w:r>
      <w:r>
        <w:rPr>
          <w:rFonts w:eastAsia="Calibri"/>
          <w:lang w:eastAsia="en-US"/>
        </w:rPr>
        <w:t xml:space="preserve">из распределения субсидии </w:t>
      </w:r>
      <w:r w:rsidR="00067473">
        <w:rPr>
          <w:rFonts w:eastAsia="Calibri"/>
          <w:lang w:eastAsia="en-US"/>
        </w:rPr>
        <w:t>краевого бюджета на строительство, реконструкци</w:t>
      </w:r>
      <w:r w:rsidR="0091394E">
        <w:rPr>
          <w:rFonts w:eastAsia="Calibri"/>
          <w:lang w:eastAsia="en-US"/>
        </w:rPr>
        <w:t>ю</w:t>
      </w:r>
      <w:r w:rsidR="00067473">
        <w:rPr>
          <w:rFonts w:eastAsia="Calibri"/>
          <w:lang w:eastAsia="en-US"/>
        </w:rPr>
        <w:t xml:space="preserve">, ремонт объектов культуры (строительство клуба </w:t>
      </w:r>
      <w:proofErr w:type="gramStart"/>
      <w:r w:rsidR="00067473">
        <w:rPr>
          <w:rFonts w:eastAsia="Calibri"/>
          <w:lang w:eastAsia="en-US"/>
        </w:rPr>
        <w:t>в</w:t>
      </w:r>
      <w:proofErr w:type="gramEnd"/>
      <w:r w:rsidR="00067473">
        <w:rPr>
          <w:rFonts w:eastAsia="Calibri"/>
          <w:lang w:eastAsia="en-US"/>
        </w:rPr>
        <w:t xml:space="preserve"> с. Тихменево). </w:t>
      </w:r>
      <w:proofErr w:type="gramStart"/>
      <w:r w:rsidR="00067473">
        <w:rPr>
          <w:rFonts w:eastAsia="Calibri"/>
          <w:lang w:eastAsia="en-US"/>
        </w:rPr>
        <w:t xml:space="preserve">Увеличиваются расходы на сумму 916,59 тыс. руб. за счет поступления субсидии на укрепление материально-технической базы домов культуры </w:t>
      </w:r>
      <w:r w:rsidR="00E7153E">
        <w:rPr>
          <w:rFonts w:eastAsia="Calibri"/>
          <w:lang w:eastAsia="en-US"/>
        </w:rPr>
        <w:t>(планируется установка окон в Д</w:t>
      </w:r>
      <w:r w:rsidR="0091394E">
        <w:rPr>
          <w:rFonts w:eastAsia="Calibri"/>
          <w:lang w:eastAsia="en-US"/>
        </w:rPr>
        <w:t>К</w:t>
      </w:r>
      <w:r w:rsidR="00E7153E">
        <w:rPr>
          <w:rFonts w:eastAsia="Calibri"/>
          <w:lang w:eastAsia="en-US"/>
        </w:rPr>
        <w:t xml:space="preserve"> </w:t>
      </w:r>
      <w:proofErr w:type="spellStart"/>
      <w:r w:rsidR="00E7153E">
        <w:rPr>
          <w:rFonts w:eastAsia="Calibri"/>
          <w:lang w:eastAsia="en-US"/>
        </w:rPr>
        <w:t>мкр</w:t>
      </w:r>
      <w:proofErr w:type="spellEnd"/>
      <w:r w:rsidR="00E7153E">
        <w:rPr>
          <w:rFonts w:eastAsia="Calibri"/>
          <w:lang w:eastAsia="en-US"/>
        </w:rPr>
        <w:t>.</w:t>
      </w:r>
      <w:proofErr w:type="gramEnd"/>
      <w:r w:rsidR="00E7153E">
        <w:rPr>
          <w:rFonts w:eastAsia="Calibri"/>
          <w:lang w:eastAsia="en-US"/>
        </w:rPr>
        <w:t xml:space="preserve"> </w:t>
      </w:r>
      <w:proofErr w:type="spellStart"/>
      <w:r w:rsidR="00E7153E">
        <w:rPr>
          <w:rFonts w:eastAsia="Calibri"/>
          <w:lang w:eastAsia="en-US"/>
        </w:rPr>
        <w:t>Ружино</w:t>
      </w:r>
      <w:proofErr w:type="spellEnd"/>
      <w:r w:rsidR="00E7153E">
        <w:rPr>
          <w:rFonts w:eastAsia="Calibri"/>
          <w:lang w:eastAsia="en-US"/>
        </w:rPr>
        <w:t>)</w:t>
      </w:r>
      <w:proofErr w:type="gramStart"/>
      <w:r w:rsidR="00E7153E">
        <w:rPr>
          <w:rFonts w:eastAsia="Calibri"/>
          <w:lang w:eastAsia="en-US"/>
        </w:rPr>
        <w:t>.</w:t>
      </w:r>
      <w:proofErr w:type="gramEnd"/>
      <w:r w:rsidR="00D26A50">
        <w:rPr>
          <w:rFonts w:eastAsia="Calibri"/>
          <w:lang w:eastAsia="en-US"/>
        </w:rPr>
        <w:t xml:space="preserve"> </w:t>
      </w:r>
      <w:r w:rsidR="00D665C2">
        <w:rPr>
          <w:rFonts w:eastAsia="Calibri"/>
          <w:lang w:eastAsia="en-US"/>
        </w:rPr>
        <w:t>Расх</w:t>
      </w:r>
      <w:r w:rsidR="00D26A50">
        <w:rPr>
          <w:rFonts w:eastAsia="Calibri"/>
          <w:lang w:eastAsia="en-US"/>
        </w:rPr>
        <w:t>од</w:t>
      </w:r>
      <w:bookmarkStart w:id="0" w:name="_GoBack"/>
      <w:bookmarkEnd w:id="0"/>
      <w:r w:rsidR="00D26A50">
        <w:rPr>
          <w:rFonts w:eastAsia="Calibri"/>
          <w:lang w:eastAsia="en-US"/>
        </w:rPr>
        <w:t>ы по подраздел</w:t>
      </w:r>
      <w:r w:rsidR="006019E1">
        <w:rPr>
          <w:rFonts w:eastAsia="Calibri"/>
          <w:lang w:eastAsia="en-US"/>
        </w:rPr>
        <w:t>у</w:t>
      </w:r>
      <w:r w:rsidR="00D26A50">
        <w:rPr>
          <w:rFonts w:eastAsia="Calibri"/>
          <w:lang w:eastAsia="en-US"/>
        </w:rPr>
        <w:t xml:space="preserve"> 0804 сокращаются в сумме 14,7 тыс. руб. для выполнения условий </w:t>
      </w:r>
      <w:proofErr w:type="spellStart"/>
      <w:r w:rsidR="00D26A50">
        <w:rPr>
          <w:rFonts w:eastAsia="Calibri"/>
          <w:lang w:eastAsia="en-US"/>
        </w:rPr>
        <w:t>софинансирования</w:t>
      </w:r>
      <w:proofErr w:type="spellEnd"/>
      <w:r w:rsidR="00D26A50">
        <w:rPr>
          <w:rFonts w:eastAsia="Calibri"/>
          <w:lang w:eastAsia="en-US"/>
        </w:rPr>
        <w:t xml:space="preserve"> </w:t>
      </w:r>
      <w:r w:rsidR="00D665C2">
        <w:rPr>
          <w:rFonts w:eastAsia="Calibri"/>
          <w:lang w:eastAsia="en-US"/>
        </w:rPr>
        <w:t>субсидии по оснащению образовательных учреждений в сфере искусств музыкальными инструментами.</w:t>
      </w:r>
    </w:p>
    <w:p w:rsidR="008555AF" w:rsidRDefault="002B2A52" w:rsidP="002B2A52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="008555AF">
        <w:rPr>
          <w:rFonts w:eastAsia="Calibri"/>
          <w:b/>
          <w:lang w:eastAsia="en-US"/>
        </w:rPr>
        <w:t>10</w:t>
      </w:r>
      <w:r>
        <w:rPr>
          <w:rFonts w:eastAsia="Calibri"/>
          <w:b/>
          <w:lang w:eastAsia="en-US"/>
        </w:rPr>
        <w:t xml:space="preserve">00 </w:t>
      </w:r>
      <w:r w:rsidRPr="004D2307">
        <w:rPr>
          <w:rFonts w:eastAsia="Calibri"/>
          <w:b/>
          <w:lang w:eastAsia="en-US"/>
        </w:rPr>
        <w:t>«</w:t>
      </w:r>
      <w:r w:rsidR="008555AF">
        <w:rPr>
          <w:rFonts w:eastAsia="Calibri"/>
          <w:b/>
          <w:lang w:eastAsia="en-US"/>
        </w:rPr>
        <w:t>Социальная политика</w:t>
      </w:r>
      <w:r>
        <w:rPr>
          <w:rFonts w:eastAsia="Calibri"/>
          <w:b/>
          <w:lang w:eastAsia="en-US"/>
        </w:rPr>
        <w:t>»</w:t>
      </w:r>
      <w:r w:rsidRPr="004D2307">
        <w:rPr>
          <w:rFonts w:eastAsia="Calibri"/>
          <w:lang w:eastAsia="en-US"/>
        </w:rPr>
        <w:t xml:space="preserve"> </w:t>
      </w:r>
      <w:r w:rsidR="008555AF">
        <w:rPr>
          <w:rFonts w:eastAsia="Calibri"/>
          <w:lang w:eastAsia="en-US"/>
        </w:rPr>
        <w:t>увеличиваются расходы на 5721,65 тыс. и составят 54895,14 тыс. руб. за счет выделения субвенций из краевого бюджета 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</w:t>
      </w:r>
      <w:r w:rsidR="00C440F2">
        <w:rPr>
          <w:rFonts w:eastAsia="Calibri"/>
          <w:lang w:eastAsia="en-US"/>
        </w:rPr>
        <w:t>,</w:t>
      </w:r>
      <w:r w:rsidR="008555AF">
        <w:rPr>
          <w:rFonts w:eastAsia="Calibri"/>
          <w:lang w:eastAsia="en-US"/>
        </w:rPr>
        <w:t xml:space="preserve"> жилыми помещениями</w:t>
      </w:r>
      <w:r>
        <w:rPr>
          <w:rFonts w:eastAsia="Calibri"/>
          <w:lang w:eastAsia="en-US"/>
        </w:rPr>
        <w:t>.</w:t>
      </w:r>
    </w:p>
    <w:p w:rsidR="00A54AF4" w:rsidRDefault="002B2A52" w:rsidP="002B2A52">
      <w:pPr>
        <w:ind w:firstLine="709"/>
        <w:jc w:val="both"/>
        <w:rPr>
          <w:rFonts w:eastAsia="Calibri"/>
          <w:lang w:eastAsia="en-US"/>
        </w:rPr>
      </w:pPr>
      <w:r w:rsidRPr="009A67DE">
        <w:rPr>
          <w:rFonts w:eastAsia="Calibri"/>
          <w:lang w:eastAsia="en-US"/>
        </w:rPr>
        <w:t xml:space="preserve">По разделу </w:t>
      </w:r>
      <w:r w:rsidR="008555AF">
        <w:rPr>
          <w:rFonts w:eastAsia="Calibri"/>
          <w:b/>
          <w:lang w:eastAsia="en-US"/>
        </w:rPr>
        <w:t>11</w:t>
      </w:r>
      <w:r w:rsidRPr="002B2A52">
        <w:rPr>
          <w:rFonts w:eastAsia="Calibri"/>
          <w:b/>
          <w:lang w:eastAsia="en-US"/>
        </w:rPr>
        <w:t>00 «</w:t>
      </w:r>
      <w:r w:rsidR="008555AF">
        <w:rPr>
          <w:rFonts w:eastAsia="Calibri"/>
          <w:b/>
          <w:lang w:eastAsia="en-US"/>
        </w:rPr>
        <w:t>Физическая к</w:t>
      </w:r>
      <w:r w:rsidRPr="002B2A52">
        <w:rPr>
          <w:rFonts w:eastAsia="Calibri"/>
          <w:b/>
          <w:lang w:eastAsia="en-US"/>
        </w:rPr>
        <w:t>ультура</w:t>
      </w:r>
      <w:r w:rsidR="008555AF">
        <w:rPr>
          <w:rFonts w:eastAsia="Calibri"/>
          <w:b/>
          <w:lang w:eastAsia="en-US"/>
        </w:rPr>
        <w:t xml:space="preserve"> и спорт</w:t>
      </w:r>
      <w:r w:rsidRPr="002B2A52">
        <w:rPr>
          <w:rFonts w:eastAsia="Calibri"/>
          <w:b/>
          <w:lang w:eastAsia="en-US"/>
        </w:rPr>
        <w:t>»</w:t>
      </w:r>
      <w:r w:rsidRPr="009A67DE">
        <w:rPr>
          <w:rFonts w:eastAsia="Calibri"/>
          <w:lang w:eastAsia="en-US"/>
        </w:rPr>
        <w:t xml:space="preserve"> расходы </w:t>
      </w:r>
      <w:r w:rsidR="008555AF">
        <w:rPr>
          <w:rFonts w:eastAsia="Calibri"/>
          <w:lang w:eastAsia="en-US"/>
        </w:rPr>
        <w:t xml:space="preserve">увеличиваются </w:t>
      </w:r>
      <w:r w:rsidRPr="009A67DE">
        <w:rPr>
          <w:rFonts w:eastAsia="Calibri"/>
          <w:lang w:eastAsia="en-US"/>
        </w:rPr>
        <w:t xml:space="preserve">на </w:t>
      </w:r>
      <w:r w:rsidR="008555AF">
        <w:rPr>
          <w:rFonts w:eastAsia="Calibri"/>
          <w:b/>
          <w:lang w:eastAsia="en-US"/>
        </w:rPr>
        <w:t>1309,56</w:t>
      </w:r>
      <w:r>
        <w:rPr>
          <w:rFonts w:eastAsia="Calibri"/>
          <w:lang w:eastAsia="en-US"/>
        </w:rPr>
        <w:t xml:space="preserve"> </w:t>
      </w:r>
      <w:r w:rsidRPr="009A67DE">
        <w:rPr>
          <w:rFonts w:eastAsia="Calibri"/>
          <w:lang w:eastAsia="en-US"/>
        </w:rPr>
        <w:t xml:space="preserve">тыс. руб. и составят </w:t>
      </w:r>
      <w:r w:rsidR="00A54AF4">
        <w:rPr>
          <w:rFonts w:eastAsia="Calibri"/>
          <w:lang w:eastAsia="en-US"/>
        </w:rPr>
        <w:t>27330,06</w:t>
      </w:r>
      <w:r w:rsidRPr="009A67DE">
        <w:rPr>
          <w:rFonts w:eastAsia="Calibri"/>
          <w:lang w:eastAsia="en-US"/>
        </w:rPr>
        <w:t xml:space="preserve"> тыс. руб.</w:t>
      </w:r>
      <w:r w:rsidR="00A54AF4">
        <w:rPr>
          <w:rFonts w:eastAsia="Calibri"/>
          <w:lang w:eastAsia="en-US"/>
        </w:rPr>
        <w:t xml:space="preserve"> за счет поступления краевой субсидии на обеспечение спортивным инвентарем и оборудованием муниципальных учреждений спортивной направленности</w:t>
      </w:r>
      <w:r>
        <w:rPr>
          <w:rFonts w:eastAsia="Calibri"/>
          <w:lang w:eastAsia="en-US"/>
        </w:rPr>
        <w:t>.</w:t>
      </w:r>
    </w:p>
    <w:p w:rsidR="00A54AF4" w:rsidRPr="006019E1" w:rsidRDefault="00DF53BB" w:rsidP="002B2A5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Также п</w:t>
      </w:r>
      <w:r w:rsidR="00A54AF4">
        <w:rPr>
          <w:rFonts w:eastAsia="Calibri"/>
          <w:lang w:eastAsia="en-US"/>
        </w:rPr>
        <w:t xml:space="preserve">роектом решения предусматривается перераспределение бюджетных ассигнований </w:t>
      </w:r>
      <w:r w:rsidR="00EE622F">
        <w:rPr>
          <w:rFonts w:eastAsia="Calibri"/>
          <w:lang w:eastAsia="en-US"/>
        </w:rPr>
        <w:t xml:space="preserve">за счет средств местного бюджета </w:t>
      </w:r>
      <w:r w:rsidR="00A54AF4">
        <w:rPr>
          <w:rFonts w:eastAsia="Calibri"/>
          <w:lang w:eastAsia="en-US"/>
        </w:rPr>
        <w:t>между целевыми статьями и видами расходов в пределах общего объема утвержденного финансиров</w:t>
      </w:r>
      <w:r>
        <w:rPr>
          <w:rFonts w:eastAsia="Calibri"/>
          <w:lang w:eastAsia="en-US"/>
        </w:rPr>
        <w:t>ания</w:t>
      </w:r>
      <w:r w:rsidR="006019E1" w:rsidRPr="006019E1">
        <w:rPr>
          <w:rFonts w:eastAsia="Calibri"/>
          <w:lang w:eastAsia="en-US"/>
        </w:rPr>
        <w:t>:</w:t>
      </w:r>
    </w:p>
    <w:p w:rsidR="00B1098E" w:rsidRDefault="00DF53BB" w:rsidP="004D2307">
      <w:pPr>
        <w:ind w:firstLine="709"/>
        <w:jc w:val="both"/>
        <w:rPr>
          <w:rFonts w:eastAsia="Calibri"/>
          <w:lang w:eastAsia="en-US"/>
        </w:rPr>
      </w:pPr>
      <w:r w:rsidRPr="00EE622F">
        <w:rPr>
          <w:rFonts w:eastAsia="Calibri"/>
          <w:lang w:eastAsia="en-US"/>
        </w:rPr>
        <w:t xml:space="preserve">-бюджетные ассигнования в размере 211,7 тыс. руб. перераспределены с расходов по укреплению материально-технической базы школ </w:t>
      </w:r>
      <w:r w:rsidR="00C74461">
        <w:rPr>
          <w:rFonts w:eastAsia="Calibri"/>
          <w:lang w:eastAsia="en-US"/>
        </w:rPr>
        <w:t xml:space="preserve">(целевая статья 0220090620) </w:t>
      </w:r>
      <w:r w:rsidRPr="00EE622F">
        <w:rPr>
          <w:rFonts w:eastAsia="Calibri"/>
          <w:lang w:eastAsia="en-US"/>
        </w:rPr>
        <w:t xml:space="preserve">на капитальный ремонт зданий школ для выполнения условий </w:t>
      </w:r>
      <w:proofErr w:type="spellStart"/>
      <w:r w:rsidRPr="00EE622F">
        <w:rPr>
          <w:rFonts w:eastAsia="Calibri"/>
          <w:lang w:eastAsia="en-US"/>
        </w:rPr>
        <w:t>софинансирования</w:t>
      </w:r>
      <w:proofErr w:type="spellEnd"/>
      <w:r w:rsidR="00C74461">
        <w:rPr>
          <w:rFonts w:eastAsia="Calibri"/>
          <w:lang w:eastAsia="en-US"/>
        </w:rPr>
        <w:t xml:space="preserve"> (целевая статья 02200</w:t>
      </w:r>
      <w:r w:rsidR="00C74461">
        <w:rPr>
          <w:rFonts w:eastAsia="Calibri"/>
          <w:lang w:val="en-US" w:eastAsia="en-US"/>
        </w:rPr>
        <w:t>S</w:t>
      </w:r>
      <w:r w:rsidR="00C74461">
        <w:rPr>
          <w:rFonts w:eastAsia="Calibri"/>
          <w:lang w:eastAsia="en-US"/>
        </w:rPr>
        <w:t>2340)</w:t>
      </w:r>
      <w:r w:rsidRPr="00EE622F">
        <w:rPr>
          <w:rFonts w:eastAsia="Calibri"/>
          <w:lang w:eastAsia="en-US"/>
        </w:rPr>
        <w:t>;</w:t>
      </w:r>
    </w:p>
    <w:p w:rsidR="00E56985" w:rsidRDefault="00594EA9" w:rsidP="004D2307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- </w:t>
      </w:r>
      <w:r w:rsidR="00C74461">
        <w:rPr>
          <w:rFonts w:eastAsia="Calibri"/>
          <w:lang w:eastAsia="en-US"/>
        </w:rPr>
        <w:t>б</w:t>
      </w:r>
      <w:r w:rsidRPr="00594EA9">
        <w:rPr>
          <w:rFonts w:eastAsia="Calibri"/>
          <w:lang w:eastAsia="en-US"/>
        </w:rPr>
        <w:t xml:space="preserve">юджетные ассигнования в размере </w:t>
      </w:r>
      <w:r w:rsidR="009D5D70">
        <w:rPr>
          <w:rFonts w:eastAsia="Calibri"/>
          <w:lang w:eastAsia="en-US"/>
        </w:rPr>
        <w:t>10</w:t>
      </w:r>
      <w:r w:rsidRPr="00594EA9">
        <w:rPr>
          <w:rFonts w:eastAsia="Calibri"/>
          <w:lang w:eastAsia="en-US"/>
        </w:rPr>
        <w:t xml:space="preserve">00,0 тыс. руб., предусмотренные в рамках </w:t>
      </w:r>
      <w:r w:rsidRPr="003D3BCA">
        <w:rPr>
          <w:rFonts w:eastAsia="Calibri"/>
          <w:lang w:eastAsia="en-US"/>
        </w:rPr>
        <w:t xml:space="preserve">реализации </w:t>
      </w:r>
      <w:r w:rsidR="00C74461" w:rsidRPr="003D3BCA">
        <w:rPr>
          <w:rFonts w:eastAsia="Calibri"/>
          <w:lang w:eastAsia="en-US"/>
        </w:rPr>
        <w:t xml:space="preserve">МП </w:t>
      </w:r>
      <w:r w:rsidRPr="003D3BCA">
        <w:rPr>
          <w:rFonts w:eastAsia="Calibri"/>
          <w:lang w:eastAsia="en-US"/>
        </w:rPr>
        <w:t>«Обеспечение доступным жильем отдельных категорий граждан и развитие жилищного строительства на территории Л</w:t>
      </w:r>
      <w:r w:rsidR="00C74461" w:rsidRPr="003D3BCA">
        <w:rPr>
          <w:rFonts w:eastAsia="Calibri"/>
          <w:lang w:eastAsia="en-US"/>
        </w:rPr>
        <w:t>ГО</w:t>
      </w:r>
      <w:r w:rsidRPr="003D3BCA">
        <w:rPr>
          <w:rFonts w:eastAsia="Calibri"/>
          <w:lang w:eastAsia="en-US"/>
        </w:rPr>
        <w:t>», подпрограммы «Обеспечение земельных участков, предоставляемых на бесплатной основе гражданам</w:t>
      </w:r>
      <w:r w:rsidRPr="00594EA9">
        <w:rPr>
          <w:rFonts w:eastAsia="Calibri"/>
          <w:lang w:eastAsia="en-US"/>
        </w:rPr>
        <w:t xml:space="preserve">, имеющим трёх и более детей, под строительство индивидуальных жилых домов, инженерной инфраструктурой» </w:t>
      </w:r>
      <w:r w:rsidR="00E56985">
        <w:rPr>
          <w:rFonts w:eastAsia="Calibri"/>
          <w:lang w:eastAsia="en-US"/>
        </w:rPr>
        <w:t xml:space="preserve">на строительство подъездных автомобильных дорог, проездов к земельным участкам многодетных на условиях </w:t>
      </w:r>
      <w:proofErr w:type="spellStart"/>
      <w:r w:rsidR="00E56985">
        <w:rPr>
          <w:rFonts w:eastAsia="Calibri"/>
          <w:lang w:eastAsia="en-US"/>
        </w:rPr>
        <w:t>софинансирования</w:t>
      </w:r>
      <w:proofErr w:type="spellEnd"/>
      <w:r w:rsidR="00E56985">
        <w:rPr>
          <w:rFonts w:eastAsia="Calibri"/>
          <w:lang w:eastAsia="en-US"/>
        </w:rPr>
        <w:t xml:space="preserve"> </w:t>
      </w:r>
      <w:r w:rsidR="00C74461">
        <w:rPr>
          <w:rFonts w:eastAsia="Calibri"/>
          <w:lang w:eastAsia="en-US"/>
        </w:rPr>
        <w:t>(целевая</w:t>
      </w:r>
      <w:proofErr w:type="gramEnd"/>
      <w:r w:rsidR="00C74461">
        <w:rPr>
          <w:rFonts w:eastAsia="Calibri"/>
          <w:lang w:eastAsia="en-US"/>
        </w:rPr>
        <w:t xml:space="preserve"> статья 06100</w:t>
      </w:r>
      <w:r w:rsidR="00C74461">
        <w:rPr>
          <w:rFonts w:eastAsia="Calibri"/>
          <w:lang w:val="en-US" w:eastAsia="en-US"/>
        </w:rPr>
        <w:t>S</w:t>
      </w:r>
      <w:r w:rsidR="00C74461" w:rsidRPr="00C74461">
        <w:rPr>
          <w:rFonts w:eastAsia="Calibri"/>
          <w:lang w:eastAsia="en-US"/>
        </w:rPr>
        <w:t>2380</w:t>
      </w:r>
      <w:r w:rsidR="00C74461">
        <w:rPr>
          <w:rFonts w:eastAsia="Calibri"/>
          <w:lang w:eastAsia="en-US"/>
        </w:rPr>
        <w:t xml:space="preserve">) </w:t>
      </w:r>
      <w:r w:rsidRPr="00594EA9">
        <w:rPr>
          <w:rFonts w:eastAsia="Calibri"/>
          <w:lang w:eastAsia="en-US"/>
        </w:rPr>
        <w:t>перераспредел</w:t>
      </w:r>
      <w:r>
        <w:rPr>
          <w:rFonts w:eastAsia="Calibri"/>
          <w:lang w:eastAsia="en-US"/>
        </w:rPr>
        <w:t>яются</w:t>
      </w:r>
      <w:r w:rsidRPr="00594EA9">
        <w:rPr>
          <w:rFonts w:eastAsia="Calibri"/>
          <w:lang w:eastAsia="en-US"/>
        </w:rPr>
        <w:t xml:space="preserve"> на </w:t>
      </w:r>
      <w:r w:rsidR="00E56985">
        <w:rPr>
          <w:rFonts w:eastAsia="Calibri"/>
          <w:lang w:eastAsia="en-US"/>
        </w:rPr>
        <w:t>следующие расходы</w:t>
      </w:r>
      <w:r w:rsidR="00E56985" w:rsidRPr="00E56985">
        <w:rPr>
          <w:rFonts w:eastAsia="Calibri"/>
          <w:lang w:eastAsia="en-US"/>
        </w:rPr>
        <w:t>:</w:t>
      </w:r>
    </w:p>
    <w:p w:rsidR="00E56985" w:rsidRDefault="00724433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</w:t>
      </w:r>
      <w:r w:rsidR="00E56985">
        <w:rPr>
          <w:rFonts w:eastAsia="Calibri"/>
          <w:lang w:eastAsia="en-US"/>
        </w:rPr>
        <w:t xml:space="preserve">- на проектирование </w:t>
      </w:r>
      <w:r w:rsidR="00E56985" w:rsidRPr="00E56985">
        <w:rPr>
          <w:rFonts w:eastAsia="Calibri"/>
          <w:lang w:eastAsia="en-US"/>
        </w:rPr>
        <w:t xml:space="preserve">подъездных автомобильных дорог, </w:t>
      </w:r>
      <w:r w:rsidR="007C4A9F">
        <w:rPr>
          <w:rFonts w:eastAsia="Calibri"/>
          <w:lang w:eastAsia="en-US"/>
        </w:rPr>
        <w:t>подъ</w:t>
      </w:r>
      <w:r w:rsidR="00E56985" w:rsidRPr="00E56985">
        <w:rPr>
          <w:rFonts w:eastAsia="Calibri"/>
          <w:lang w:eastAsia="en-US"/>
        </w:rPr>
        <w:t>езд</w:t>
      </w:r>
      <w:r w:rsidR="007C4A9F">
        <w:rPr>
          <w:rFonts w:eastAsia="Calibri"/>
          <w:lang w:eastAsia="en-US"/>
        </w:rPr>
        <w:t>ных дорог</w:t>
      </w:r>
      <w:r w:rsidR="00E56985" w:rsidRPr="00E56985">
        <w:rPr>
          <w:rFonts w:eastAsia="Calibri"/>
          <w:lang w:eastAsia="en-US"/>
        </w:rPr>
        <w:t xml:space="preserve"> к земельным участкам многодетных </w:t>
      </w:r>
      <w:r w:rsidR="007C4A9F">
        <w:rPr>
          <w:rFonts w:eastAsia="Calibri"/>
          <w:lang w:eastAsia="en-US"/>
        </w:rPr>
        <w:t xml:space="preserve">в </w:t>
      </w:r>
      <w:r w:rsidR="00E56985">
        <w:rPr>
          <w:rFonts w:eastAsia="Calibri"/>
          <w:lang w:eastAsia="en-US"/>
        </w:rPr>
        <w:t>сумме 400 тыс. руб.</w:t>
      </w:r>
      <w:r w:rsidR="007C4A9F">
        <w:rPr>
          <w:rFonts w:eastAsia="Calibri"/>
          <w:lang w:eastAsia="en-US"/>
        </w:rPr>
        <w:t xml:space="preserve"> для корректировки проектно-сметной документации </w:t>
      </w:r>
      <w:r w:rsidR="00501C27">
        <w:rPr>
          <w:rFonts w:eastAsia="Calibri"/>
          <w:lang w:eastAsia="en-US"/>
        </w:rPr>
        <w:t xml:space="preserve">строительства дорог </w:t>
      </w:r>
      <w:r w:rsidR="007C4A9F">
        <w:rPr>
          <w:rFonts w:eastAsia="Calibri"/>
          <w:lang w:eastAsia="en-US"/>
        </w:rPr>
        <w:t xml:space="preserve">(целевая статья </w:t>
      </w:r>
      <w:r w:rsidR="007C4A9F" w:rsidRPr="007C4A9F">
        <w:rPr>
          <w:rFonts w:eastAsia="Calibri"/>
          <w:lang w:eastAsia="en-US"/>
        </w:rPr>
        <w:t>0610096230</w:t>
      </w:r>
      <w:r w:rsidR="007C4A9F">
        <w:rPr>
          <w:rFonts w:eastAsia="Calibri"/>
          <w:lang w:eastAsia="en-US"/>
        </w:rPr>
        <w:t>),</w:t>
      </w:r>
    </w:p>
    <w:p w:rsidR="00594EA9" w:rsidRDefault="009D5D70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72443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</w:t>
      </w:r>
      <w:r w:rsidR="00E56985">
        <w:rPr>
          <w:rFonts w:eastAsia="Calibri"/>
          <w:lang w:eastAsia="en-US"/>
        </w:rPr>
        <w:t xml:space="preserve">- на </w:t>
      </w:r>
      <w:r w:rsidR="00594EA9" w:rsidRPr="00594EA9">
        <w:rPr>
          <w:rFonts w:eastAsia="Calibri"/>
          <w:lang w:eastAsia="en-US"/>
        </w:rPr>
        <w:t xml:space="preserve">мероприятия муниципальной программы «Модернизация дорожной сети </w:t>
      </w:r>
      <w:r w:rsidR="00C74461">
        <w:rPr>
          <w:rFonts w:eastAsia="Calibri"/>
          <w:lang w:eastAsia="en-US"/>
        </w:rPr>
        <w:t>ЛГО</w:t>
      </w:r>
      <w:r w:rsidR="00594EA9" w:rsidRPr="00594EA9">
        <w:rPr>
          <w:rFonts w:eastAsia="Calibri"/>
          <w:lang w:eastAsia="en-US"/>
        </w:rPr>
        <w:t>» по текущему содержанию и ремонту улично-дорожной сети</w:t>
      </w:r>
      <w:r w:rsidR="00594EA9">
        <w:rPr>
          <w:rFonts w:eastAsia="Calibri"/>
          <w:lang w:eastAsia="en-US"/>
        </w:rPr>
        <w:t xml:space="preserve"> </w:t>
      </w:r>
      <w:r w:rsidR="00C74461">
        <w:rPr>
          <w:rFonts w:eastAsia="Calibri"/>
          <w:lang w:eastAsia="en-US"/>
        </w:rPr>
        <w:t xml:space="preserve">в сумме </w:t>
      </w:r>
      <w:r w:rsidR="00594EA9">
        <w:rPr>
          <w:rFonts w:eastAsia="Calibri"/>
          <w:lang w:eastAsia="en-US"/>
        </w:rPr>
        <w:t>465,4 тыс. руб.</w:t>
      </w:r>
      <w:r w:rsidR="00C74461">
        <w:rPr>
          <w:rFonts w:eastAsia="Calibri"/>
          <w:lang w:eastAsia="en-US"/>
        </w:rPr>
        <w:t xml:space="preserve"> (целевая статья 0890093190</w:t>
      </w:r>
      <w:r w:rsidR="00594EA9">
        <w:rPr>
          <w:rFonts w:eastAsia="Calibri"/>
          <w:lang w:eastAsia="en-US"/>
        </w:rPr>
        <w:t>)</w:t>
      </w:r>
      <w:r w:rsidR="00E56985">
        <w:rPr>
          <w:rFonts w:eastAsia="Calibri"/>
          <w:lang w:eastAsia="en-US"/>
        </w:rPr>
        <w:t xml:space="preserve"> и </w:t>
      </w:r>
      <w:r w:rsidR="00594EA9">
        <w:rPr>
          <w:rFonts w:eastAsia="Calibri"/>
          <w:lang w:eastAsia="en-US"/>
        </w:rPr>
        <w:t>повышени</w:t>
      </w:r>
      <w:r w:rsidR="00C74461">
        <w:rPr>
          <w:rFonts w:eastAsia="Calibri"/>
          <w:lang w:eastAsia="en-US"/>
        </w:rPr>
        <w:t>ю</w:t>
      </w:r>
      <w:r w:rsidR="00594EA9">
        <w:rPr>
          <w:rFonts w:eastAsia="Calibri"/>
          <w:lang w:eastAsia="en-US"/>
        </w:rPr>
        <w:t xml:space="preserve"> уровня безопасности </w:t>
      </w:r>
      <w:r w:rsidR="00C74461">
        <w:rPr>
          <w:rFonts w:eastAsia="Calibri"/>
          <w:lang w:eastAsia="en-US"/>
        </w:rPr>
        <w:t xml:space="preserve">в сумме 134,6 тыс. руб. </w:t>
      </w:r>
      <w:r w:rsidR="00594EA9">
        <w:rPr>
          <w:rFonts w:eastAsia="Calibri"/>
          <w:lang w:eastAsia="en-US"/>
        </w:rPr>
        <w:t>(</w:t>
      </w:r>
      <w:r w:rsidR="00C74461">
        <w:rPr>
          <w:rFonts w:eastAsia="Calibri"/>
          <w:lang w:eastAsia="en-US"/>
        </w:rPr>
        <w:t>целевая статья 0890096260</w:t>
      </w:r>
      <w:r w:rsidR="00594EA9">
        <w:rPr>
          <w:rFonts w:eastAsia="Calibri"/>
          <w:lang w:eastAsia="en-US"/>
        </w:rPr>
        <w:t>)</w:t>
      </w:r>
      <w:r w:rsidR="00594EA9" w:rsidRPr="00594EA9">
        <w:rPr>
          <w:rFonts w:eastAsia="Calibri"/>
          <w:lang w:eastAsia="en-US"/>
        </w:rPr>
        <w:t>.</w:t>
      </w:r>
    </w:p>
    <w:p w:rsidR="00594EA9" w:rsidRDefault="007C4A9F" w:rsidP="004D2307">
      <w:pPr>
        <w:ind w:firstLine="709"/>
        <w:jc w:val="both"/>
        <w:rPr>
          <w:rFonts w:eastAsia="Calibri"/>
          <w:lang w:eastAsia="en-US"/>
        </w:rPr>
      </w:pPr>
      <w:r w:rsidRPr="007C4A9F">
        <w:rPr>
          <w:rFonts w:eastAsia="Calibri"/>
          <w:lang w:eastAsia="en-US"/>
        </w:rPr>
        <w:t xml:space="preserve">- в рамках реализации мероприятий муниципальной программы «Формирование современной городской среды на территории Лесозаводского городского округа» бюджетные ассигнования </w:t>
      </w:r>
      <w:r w:rsidR="00724433">
        <w:rPr>
          <w:rFonts w:eastAsia="Calibri"/>
          <w:lang w:eastAsia="en-US"/>
        </w:rPr>
        <w:t>в размере 392,5 тыс. руб. уточняются</w:t>
      </w:r>
      <w:r w:rsidRPr="007C4A9F">
        <w:rPr>
          <w:rFonts w:eastAsia="Calibri"/>
          <w:lang w:eastAsia="en-US"/>
        </w:rPr>
        <w:t xml:space="preserve"> с целевой статьи 169F255550 «</w:t>
      </w:r>
      <w:r w:rsidR="00501C27">
        <w:rPr>
          <w:rFonts w:eastAsia="Calibri"/>
          <w:lang w:eastAsia="en-US"/>
        </w:rPr>
        <w:t>Субсидии на реализацию программ формирования современной городской среды</w:t>
      </w:r>
      <w:r w:rsidRPr="007C4A9F">
        <w:rPr>
          <w:rFonts w:eastAsia="Calibri"/>
          <w:lang w:eastAsia="en-US"/>
        </w:rPr>
        <w:t>» на целевую статью 1690093430 «</w:t>
      </w:r>
      <w:r w:rsidR="00501C27">
        <w:rPr>
          <w:rFonts w:eastAsia="Calibri"/>
          <w:lang w:eastAsia="en-US"/>
        </w:rPr>
        <w:t>Благоустройство</w:t>
      </w:r>
      <w:r w:rsidRPr="007C4A9F">
        <w:rPr>
          <w:rFonts w:eastAsia="Calibri"/>
          <w:lang w:eastAsia="en-US"/>
        </w:rPr>
        <w:t>».</w:t>
      </w:r>
    </w:p>
    <w:p w:rsidR="00594EA9" w:rsidRPr="00594EA9" w:rsidRDefault="00594EA9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Кроме того, проектом решения перераспределяются бюджетные ассигнования между главными распорядителями бюджетных средств (ГРБС)</w:t>
      </w:r>
      <w:r w:rsidRPr="00594EA9">
        <w:rPr>
          <w:rFonts w:eastAsia="Calibri"/>
          <w:lang w:eastAsia="en-US"/>
        </w:rPr>
        <w:t>:</w:t>
      </w:r>
    </w:p>
    <w:p w:rsidR="00594EA9" w:rsidRDefault="00594EA9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непрограммные расходы, предусмотренные по</w:t>
      </w:r>
      <w:r w:rsidRPr="007A3331">
        <w:rPr>
          <w:bCs/>
          <w:color w:val="000000"/>
        </w:rPr>
        <w:t xml:space="preserve"> ГРБС «Администрация Лесозаводского городского округа» на </w:t>
      </w:r>
      <w:r>
        <w:rPr>
          <w:bCs/>
          <w:color w:val="000000"/>
        </w:rPr>
        <w:t xml:space="preserve">исполнение судебных решений в сумме 300 тыс. руб. перераспределяются на </w:t>
      </w:r>
      <w:r w:rsidRPr="007A3331">
        <w:rPr>
          <w:bCs/>
          <w:color w:val="000000"/>
        </w:rPr>
        <w:t>ГРБС «финансовое управление администрации Л</w:t>
      </w:r>
      <w:r>
        <w:rPr>
          <w:bCs/>
          <w:color w:val="000000"/>
        </w:rPr>
        <w:t>ГО</w:t>
      </w:r>
      <w:r w:rsidRPr="007A3331">
        <w:rPr>
          <w:bCs/>
          <w:color w:val="000000"/>
        </w:rPr>
        <w:t>»;</w:t>
      </w:r>
    </w:p>
    <w:p w:rsidR="007C7FDB" w:rsidRDefault="00EE622F" w:rsidP="004D230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EE622F">
        <w:rPr>
          <w:rFonts w:eastAsia="Calibri"/>
          <w:lang w:eastAsia="en-US"/>
        </w:rPr>
        <w:t>Средства субвенции из вышестоящего бюджета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в размере 430,0 тыс. руб. перераспредел</w:t>
      </w:r>
      <w:r w:rsidR="00594EA9">
        <w:rPr>
          <w:rFonts w:eastAsia="Calibri"/>
          <w:lang w:eastAsia="en-US"/>
        </w:rPr>
        <w:t>яются</w:t>
      </w:r>
      <w:r w:rsidRPr="00EE622F">
        <w:rPr>
          <w:rFonts w:eastAsia="Calibri"/>
          <w:lang w:eastAsia="en-US"/>
        </w:rPr>
        <w:t xml:space="preserve"> с ГРБС МКУ «Управление образования</w:t>
      </w:r>
      <w:r>
        <w:rPr>
          <w:rFonts w:eastAsia="Calibri"/>
          <w:lang w:eastAsia="en-US"/>
        </w:rPr>
        <w:t xml:space="preserve"> ЛГО</w:t>
      </w:r>
      <w:r w:rsidRPr="00EE622F">
        <w:rPr>
          <w:rFonts w:eastAsia="Calibri"/>
          <w:lang w:eastAsia="en-US"/>
        </w:rPr>
        <w:t>» на ГРБС МКУ «Управление культуры, молодежной политики и спорта Л</w:t>
      </w:r>
      <w:r>
        <w:rPr>
          <w:rFonts w:eastAsia="Calibri"/>
          <w:lang w:eastAsia="en-US"/>
        </w:rPr>
        <w:t>ГО</w:t>
      </w:r>
      <w:r w:rsidRPr="00EE622F">
        <w:rPr>
          <w:rFonts w:eastAsia="Calibri"/>
          <w:lang w:eastAsia="en-US"/>
        </w:rPr>
        <w:t>» (МОБУ ДО «ДШИ ЛГО»).</w:t>
      </w:r>
    </w:p>
    <w:p w:rsidR="00501C27" w:rsidRDefault="00510AD0" w:rsidP="00487A92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 w:rsidRPr="004D2307">
        <w:rPr>
          <w:rFonts w:eastAsiaTheme="minorHAnsi"/>
          <w:lang w:eastAsia="en-US"/>
        </w:rPr>
        <w:t>Непрограммные расходы согласно проекту решения в 201</w:t>
      </w:r>
      <w:r w:rsidR="00065CD8">
        <w:rPr>
          <w:rFonts w:eastAsiaTheme="minorHAnsi"/>
          <w:lang w:eastAsia="en-US"/>
        </w:rPr>
        <w:t>9</w:t>
      </w:r>
      <w:r w:rsidRPr="004D2307">
        <w:rPr>
          <w:rFonts w:eastAsiaTheme="minorHAnsi"/>
          <w:lang w:eastAsia="en-US"/>
        </w:rPr>
        <w:t xml:space="preserve"> году </w:t>
      </w:r>
      <w:r w:rsidR="00065CD8">
        <w:rPr>
          <w:rFonts w:eastAsiaTheme="minorHAnsi"/>
          <w:lang w:eastAsia="en-US"/>
        </w:rPr>
        <w:t>сократятся</w:t>
      </w:r>
      <w:r w:rsidRPr="004D2307">
        <w:rPr>
          <w:rFonts w:eastAsiaTheme="minorHAnsi"/>
          <w:lang w:eastAsia="en-US"/>
        </w:rPr>
        <w:t xml:space="preserve"> на </w:t>
      </w:r>
      <w:r>
        <w:rPr>
          <w:rFonts w:eastAsiaTheme="minorHAnsi"/>
          <w:b/>
          <w:lang w:eastAsia="en-US"/>
        </w:rPr>
        <w:t>1</w:t>
      </w:r>
      <w:r w:rsidR="00065CD8">
        <w:rPr>
          <w:rFonts w:eastAsiaTheme="minorHAnsi"/>
          <w:b/>
          <w:lang w:eastAsia="en-US"/>
        </w:rPr>
        <w:t>0300</w:t>
      </w:r>
      <w:r w:rsidRPr="004D2307">
        <w:rPr>
          <w:rFonts w:eastAsiaTheme="minorHAnsi"/>
          <w:b/>
          <w:lang w:eastAsia="en-US"/>
        </w:rPr>
        <w:t xml:space="preserve"> тыс. руб. </w:t>
      </w:r>
      <w:r w:rsidRPr="004D2307">
        <w:rPr>
          <w:rFonts w:eastAsiaTheme="minorHAnsi"/>
          <w:lang w:eastAsia="en-US"/>
        </w:rPr>
        <w:t>и составят 14</w:t>
      </w:r>
      <w:r w:rsidR="00065CD8">
        <w:rPr>
          <w:rFonts w:eastAsiaTheme="minorHAnsi"/>
          <w:lang w:eastAsia="en-US"/>
        </w:rPr>
        <w:t>2631,18</w:t>
      </w:r>
      <w:r w:rsidRPr="004D2307">
        <w:rPr>
          <w:rFonts w:eastAsiaTheme="minorHAnsi"/>
          <w:lang w:eastAsia="en-US"/>
        </w:rPr>
        <w:t xml:space="preserve"> тыс. руб.</w:t>
      </w:r>
    </w:p>
    <w:p w:rsidR="00501C27" w:rsidRPr="004D2307" w:rsidRDefault="00501C27" w:rsidP="00501C27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Проектом решения </w:t>
      </w:r>
      <w:r w:rsidR="00724433">
        <w:rPr>
          <w:rFonts w:eastAsiaTheme="minorHAnsi"/>
          <w:lang w:eastAsia="en-US"/>
        </w:rPr>
        <w:t xml:space="preserve">на 2019 год </w:t>
      </w:r>
      <w:r>
        <w:rPr>
          <w:rFonts w:eastAsiaTheme="minorHAnsi"/>
          <w:lang w:eastAsia="en-US"/>
        </w:rPr>
        <w:t>вносятся изменения в 7</w:t>
      </w:r>
      <w:r w:rsidRPr="004D2307">
        <w:rPr>
          <w:rFonts w:eastAsiaTheme="minorHAnsi"/>
          <w:lang w:eastAsia="en-US"/>
        </w:rPr>
        <w:t xml:space="preserve"> муниципальных программ Лесозаводского городского округа</w:t>
      </w:r>
      <w:r w:rsidR="00724433">
        <w:rPr>
          <w:rFonts w:eastAsiaTheme="minorHAnsi"/>
          <w:lang w:eastAsia="en-US"/>
        </w:rPr>
        <w:t xml:space="preserve">, </w:t>
      </w:r>
      <w:r w:rsidRPr="004D2307">
        <w:rPr>
          <w:rFonts w:eastAsiaTheme="minorHAnsi"/>
          <w:lang w:eastAsia="en-US"/>
        </w:rPr>
        <w:t>финансировани</w:t>
      </w:r>
      <w:r>
        <w:rPr>
          <w:rFonts w:eastAsiaTheme="minorHAnsi"/>
          <w:lang w:eastAsia="en-US"/>
        </w:rPr>
        <w:t>е</w:t>
      </w:r>
      <w:r w:rsidRPr="004D2307">
        <w:rPr>
          <w:rFonts w:eastAsiaTheme="minorHAnsi"/>
          <w:lang w:eastAsia="en-US"/>
        </w:rPr>
        <w:t xml:space="preserve"> муниципальных программ в целом </w:t>
      </w:r>
      <w:r>
        <w:rPr>
          <w:rFonts w:eastAsiaTheme="minorHAnsi"/>
          <w:lang w:eastAsia="en-US"/>
        </w:rPr>
        <w:t>увеличи</w:t>
      </w:r>
      <w:r w:rsidR="00724433">
        <w:rPr>
          <w:rFonts w:eastAsiaTheme="minorHAnsi"/>
          <w:lang w:eastAsia="en-US"/>
        </w:rPr>
        <w:t>вается</w:t>
      </w:r>
      <w:r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 xml:space="preserve">на сумму </w:t>
      </w:r>
      <w:r>
        <w:rPr>
          <w:rFonts w:eastAsiaTheme="minorHAnsi"/>
          <w:b/>
          <w:lang w:eastAsia="en-US"/>
        </w:rPr>
        <w:t>21</w:t>
      </w:r>
      <w:r w:rsidRPr="005758E1">
        <w:rPr>
          <w:rFonts w:eastAsiaTheme="minorHAnsi"/>
          <w:b/>
          <w:lang w:eastAsia="en-US"/>
        </w:rPr>
        <w:t>3</w:t>
      </w:r>
      <w:r>
        <w:rPr>
          <w:rFonts w:eastAsiaTheme="minorHAnsi"/>
          <w:b/>
          <w:lang w:eastAsia="en-US"/>
        </w:rPr>
        <w:t>51</w:t>
      </w:r>
      <w:r w:rsidRPr="005758E1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84</w:t>
      </w:r>
      <w:r w:rsidRPr="004D2307">
        <w:rPr>
          <w:rFonts w:eastAsiaTheme="minorHAnsi"/>
          <w:b/>
          <w:lang w:eastAsia="en-US"/>
        </w:rPr>
        <w:t xml:space="preserve"> тыс. руб.</w:t>
      </w:r>
      <w:r w:rsidRPr="004D2307">
        <w:rPr>
          <w:rFonts w:eastAsiaTheme="minorHAnsi"/>
          <w:lang w:eastAsia="en-US"/>
        </w:rPr>
        <w:t xml:space="preserve"> и</w:t>
      </w:r>
      <w:r>
        <w:rPr>
          <w:rFonts w:eastAsiaTheme="minorHAnsi"/>
          <w:lang w:eastAsia="en-US"/>
        </w:rPr>
        <w:t xml:space="preserve"> с</w:t>
      </w:r>
      <w:r w:rsidRPr="004D2307">
        <w:rPr>
          <w:rFonts w:eastAsiaTheme="minorHAnsi"/>
          <w:lang w:eastAsia="en-US"/>
        </w:rPr>
        <w:t xml:space="preserve"> учетом изменений бюджетные ассигнования на реализацию муниципальных программ составят </w:t>
      </w:r>
      <w:r>
        <w:rPr>
          <w:b/>
          <w:bCs/>
          <w:color w:val="000000"/>
        </w:rPr>
        <w:t>975895,66</w:t>
      </w:r>
      <w:r>
        <w:rPr>
          <w:b/>
          <w:bCs/>
          <w:color w:val="000000"/>
          <w:sz w:val="20"/>
          <w:szCs w:val="20"/>
        </w:rPr>
        <w:t xml:space="preserve"> </w:t>
      </w:r>
      <w:r w:rsidRPr="004D2307">
        <w:rPr>
          <w:rFonts w:eastAsiaTheme="minorHAnsi"/>
          <w:lang w:eastAsia="en-US"/>
        </w:rPr>
        <w:t>тыс.</w:t>
      </w:r>
      <w:r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>руб.</w:t>
      </w:r>
    </w:p>
    <w:p w:rsidR="004D2307" w:rsidRPr="004D2307" w:rsidRDefault="00510AD0" w:rsidP="00501C27">
      <w:pPr>
        <w:autoSpaceDE w:val="0"/>
        <w:autoSpaceDN w:val="0"/>
        <w:adjustRightInd w:val="0"/>
        <w:ind w:firstLine="420"/>
        <w:jc w:val="both"/>
        <w:rPr>
          <w:bCs/>
          <w:i/>
          <w:color w:val="000000"/>
        </w:rPr>
      </w:pP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 w:rsidR="004D2307" w:rsidRPr="004D2307">
        <w:t xml:space="preserve">                                                                                                                           (</w:t>
      </w:r>
      <w:proofErr w:type="spellStart"/>
      <w:r w:rsidR="004D2307" w:rsidRPr="004D2307">
        <w:rPr>
          <w:sz w:val="22"/>
          <w:szCs w:val="22"/>
        </w:rPr>
        <w:t>тыс</w:t>
      </w:r>
      <w:proofErr w:type="gramStart"/>
      <w:r w:rsidR="004D2307" w:rsidRPr="004D2307">
        <w:rPr>
          <w:sz w:val="22"/>
          <w:szCs w:val="22"/>
        </w:rPr>
        <w:t>.р</w:t>
      </w:r>
      <w:proofErr w:type="gramEnd"/>
      <w:r w:rsidR="004D2307" w:rsidRPr="004D2307">
        <w:rPr>
          <w:sz w:val="22"/>
          <w:szCs w:val="22"/>
        </w:rPr>
        <w:t>уб</w:t>
      </w:r>
      <w:proofErr w:type="spellEnd"/>
      <w:r w:rsidR="004D2307" w:rsidRPr="004D2307">
        <w:rPr>
          <w:sz w:val="22"/>
          <w:szCs w:val="22"/>
        </w:rPr>
        <w:t>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32"/>
        <w:gridCol w:w="1418"/>
        <w:gridCol w:w="1213"/>
        <w:gridCol w:w="1276"/>
      </w:tblGrid>
      <w:tr w:rsidR="004D2307" w:rsidRPr="004D2307" w:rsidTr="00B54AC7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  <w:r w:rsidRPr="004D230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Утверждено</w:t>
            </w:r>
          </w:p>
          <w:p w:rsidR="004D2307" w:rsidRPr="004D2307" w:rsidRDefault="004D2307" w:rsidP="007C7FDB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на 201</w:t>
            </w:r>
            <w:r w:rsidR="007C7FDB">
              <w:rPr>
                <w:b/>
                <w:i/>
                <w:sz w:val="20"/>
                <w:szCs w:val="20"/>
              </w:rPr>
              <w:t>9</w:t>
            </w:r>
            <w:r w:rsidRPr="004D2307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</w:p>
          <w:p w:rsidR="004D2307" w:rsidRPr="004D2307" w:rsidRDefault="005758E1" w:rsidP="004D2307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Изменения</w:t>
            </w:r>
          </w:p>
          <w:p w:rsidR="004D2307" w:rsidRPr="004D2307" w:rsidRDefault="004D2307" w:rsidP="004D2307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7C7FDB" w:rsidRPr="004D2307" w:rsidTr="00B54AC7">
        <w:trPr>
          <w:trHeight w:val="285"/>
        </w:trPr>
        <w:tc>
          <w:tcPr>
            <w:tcW w:w="425" w:type="dxa"/>
          </w:tcPr>
          <w:p w:rsidR="007C7FDB" w:rsidRPr="004D2307" w:rsidRDefault="007C7FDB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:rsidR="007C7FDB" w:rsidRPr="004D2307" w:rsidRDefault="007C7FDB" w:rsidP="00724433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7C7FDB">
              <w:rPr>
                <w:bCs/>
                <w:color w:val="000000"/>
                <w:sz w:val="18"/>
                <w:szCs w:val="18"/>
              </w:rPr>
              <w:t>"Развитие образования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C7FDB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649870,57</w:t>
            </w:r>
          </w:p>
        </w:tc>
        <w:tc>
          <w:tcPr>
            <w:tcW w:w="1213" w:type="dxa"/>
            <w:vAlign w:val="center"/>
          </w:tcPr>
          <w:p w:rsidR="007C7FDB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672783,81</w:t>
            </w:r>
          </w:p>
        </w:tc>
        <w:tc>
          <w:tcPr>
            <w:tcW w:w="1276" w:type="dxa"/>
            <w:vAlign w:val="center"/>
          </w:tcPr>
          <w:p w:rsidR="007C7FDB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+22913,24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B4138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4B4138">
              <w:rPr>
                <w:bCs/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 w:rsidRPr="004B4138">
              <w:rPr>
                <w:bCs/>
                <w:color w:val="000000"/>
                <w:sz w:val="18"/>
                <w:szCs w:val="18"/>
              </w:rPr>
              <w:t>, развитие системы газоснабжения в Лесозаводском горо</w:t>
            </w:r>
            <w:r w:rsidR="00724433">
              <w:rPr>
                <w:bCs/>
                <w:color w:val="000000"/>
                <w:sz w:val="18"/>
                <w:szCs w:val="18"/>
              </w:rPr>
              <w:t>дском округе»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:rsidR="004B4138" w:rsidRPr="004D2307" w:rsidRDefault="004B4138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42079,21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41250,31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-828,9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:rsidR="004B4138" w:rsidRPr="004D2307" w:rsidRDefault="004B4138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87374,39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75702,96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-11671,43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32" w:type="dxa"/>
          </w:tcPr>
          <w:p w:rsidR="004B4138" w:rsidRPr="004D2307" w:rsidRDefault="004B4138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37486,24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43436,79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+5950,55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:rsidR="004B4138" w:rsidRPr="004D2307" w:rsidRDefault="004B4138" w:rsidP="00C45F7D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</w:t>
            </w:r>
            <w:r w:rsidR="00724433">
              <w:rPr>
                <w:bCs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1061,48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4140,30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+3078,82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132" w:type="dxa"/>
          </w:tcPr>
          <w:p w:rsidR="004B4138" w:rsidRPr="004D2307" w:rsidRDefault="004B4138" w:rsidP="00C45F7D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"Модернизация дорожной сети Лесозаводского </w:t>
            </w:r>
            <w:r w:rsidR="00724433">
              <w:rPr>
                <w:bCs/>
                <w:sz w:val="18"/>
                <w:szCs w:val="18"/>
              </w:rPr>
              <w:t>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34691,28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35291,28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+600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132" w:type="dxa"/>
          </w:tcPr>
          <w:p w:rsidR="004B4138" w:rsidRPr="004D2307" w:rsidRDefault="004B4138" w:rsidP="00C45F7D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"Развитие физической культуры и спорта на территории Лесозаводского гор</w:t>
            </w:r>
            <w:r w:rsidR="00724433"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26020,50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27330,06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+1309,56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32" w:type="dxa"/>
          </w:tcPr>
          <w:p w:rsidR="004B4138" w:rsidRPr="004D2307" w:rsidRDefault="004B4138" w:rsidP="00C45F7D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</w:t>
            </w:r>
            <w:r w:rsidR="00724433">
              <w:rPr>
                <w:bCs/>
                <w:color w:val="000000"/>
                <w:sz w:val="18"/>
                <w:szCs w:val="18"/>
              </w:rPr>
              <w:t>родском округе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13" w:type="dxa"/>
            <w:vAlign w:val="center"/>
          </w:tcPr>
          <w:p w:rsidR="004B4138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B413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132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</w:t>
            </w:r>
            <w:r w:rsidR="00724433">
              <w:rPr>
                <w:bCs/>
                <w:color w:val="000000"/>
                <w:sz w:val="18"/>
                <w:szCs w:val="18"/>
              </w:rPr>
              <w:t>технологий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450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13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B413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32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</w:t>
            </w:r>
            <w:r w:rsidR="00724433">
              <w:rPr>
                <w:bCs/>
                <w:color w:val="000000"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D82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32457,00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32457,00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285"/>
        </w:trPr>
        <w:tc>
          <w:tcPr>
            <w:tcW w:w="425" w:type="dxa"/>
          </w:tcPr>
          <w:p w:rsidR="004B4138" w:rsidRPr="004D2307" w:rsidRDefault="004B4138" w:rsidP="004B413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:rsidR="004B4138" w:rsidRPr="004D2307" w:rsidRDefault="004B4138" w:rsidP="00C45F7D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</w:t>
            </w:r>
            <w:r w:rsidR="00724433"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B54AC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439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32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</w:t>
            </w:r>
            <w:r w:rsidR="00724433"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191,00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439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132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современной городской среды на территории Лесозаводского гор</w:t>
            </w:r>
            <w:r w:rsidR="00724433"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40012,15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40012,15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B54AC7">
        <w:trPr>
          <w:trHeight w:val="291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865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954543,82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975895,66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+21351,84</w:t>
            </w:r>
          </w:p>
        </w:tc>
      </w:tr>
      <w:tr w:rsidR="004B4138" w:rsidRPr="004D2307" w:rsidTr="00B54AC7">
        <w:trPr>
          <w:trHeight w:val="291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D82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152931,18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142631,18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-10300,00</w:t>
            </w:r>
          </w:p>
        </w:tc>
      </w:tr>
      <w:tr w:rsidR="004B4138" w:rsidRPr="004D2307" w:rsidTr="00B54AC7">
        <w:trPr>
          <w:trHeight w:val="291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4B4138" w:rsidRPr="004D2307" w:rsidRDefault="004B4138" w:rsidP="004D2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1107475</w:t>
            </w:r>
          </w:p>
        </w:tc>
        <w:tc>
          <w:tcPr>
            <w:tcW w:w="1213" w:type="dxa"/>
            <w:vAlign w:val="center"/>
          </w:tcPr>
          <w:p w:rsidR="004B4138" w:rsidRPr="004D2307" w:rsidRDefault="00B54AC7" w:rsidP="004D23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1118526,84</w:t>
            </w:r>
          </w:p>
        </w:tc>
        <w:tc>
          <w:tcPr>
            <w:tcW w:w="1276" w:type="dxa"/>
            <w:vAlign w:val="center"/>
          </w:tcPr>
          <w:p w:rsidR="004B4138" w:rsidRPr="004D2307" w:rsidRDefault="00B54AC7" w:rsidP="004D23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+11051,84</w:t>
            </w:r>
          </w:p>
        </w:tc>
      </w:tr>
    </w:tbl>
    <w:p w:rsidR="004D2307" w:rsidRPr="000B7823" w:rsidRDefault="004D2307" w:rsidP="004D2307">
      <w:pPr>
        <w:spacing w:line="276" w:lineRule="auto"/>
        <w:ind w:firstLine="709"/>
        <w:jc w:val="both"/>
        <w:rPr>
          <w:kern w:val="2"/>
          <w:sz w:val="16"/>
          <w:szCs w:val="16"/>
          <w:lang w:eastAsia="ar-SA"/>
        </w:rPr>
      </w:pPr>
    </w:p>
    <w:p w:rsidR="00724433" w:rsidRPr="00724433" w:rsidRDefault="00724433" w:rsidP="004D2307">
      <w:pPr>
        <w:spacing w:line="276" w:lineRule="auto"/>
        <w:ind w:firstLine="709"/>
        <w:jc w:val="both"/>
        <w:rPr>
          <w:kern w:val="2"/>
          <w:lang w:eastAsia="ar-SA"/>
        </w:rPr>
      </w:pPr>
      <w:r w:rsidRPr="00B032AC">
        <w:rPr>
          <w:b/>
          <w:kern w:val="2"/>
          <w:lang w:eastAsia="ar-SA"/>
        </w:rPr>
        <w:t>Увеличиваются расходы</w:t>
      </w:r>
      <w:r>
        <w:rPr>
          <w:kern w:val="2"/>
          <w:lang w:eastAsia="ar-SA"/>
        </w:rPr>
        <w:t xml:space="preserve"> по муниципальным программам</w:t>
      </w:r>
      <w:r w:rsidRPr="00724433">
        <w:rPr>
          <w:kern w:val="2"/>
          <w:lang w:eastAsia="ar-SA"/>
        </w:rPr>
        <w:t>:</w:t>
      </w:r>
    </w:p>
    <w:p w:rsidR="00724433" w:rsidRPr="00724433" w:rsidRDefault="00724433" w:rsidP="00724433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МП </w:t>
      </w:r>
      <w:r w:rsidRPr="00724433">
        <w:rPr>
          <w:kern w:val="2"/>
          <w:lang w:eastAsia="ar-SA"/>
        </w:rPr>
        <w:t>"Развитие образования Лесозаводского городского округа"</w:t>
      </w:r>
      <w:r>
        <w:rPr>
          <w:kern w:val="2"/>
          <w:lang w:eastAsia="ar-SA"/>
        </w:rPr>
        <w:t xml:space="preserve"> – на 22913,24 тыс. руб.</w:t>
      </w:r>
      <w:r w:rsidR="00B032AC">
        <w:rPr>
          <w:kern w:val="2"/>
          <w:lang w:eastAsia="ar-SA"/>
        </w:rPr>
        <w:t>,</w:t>
      </w:r>
    </w:p>
    <w:p w:rsidR="00724433" w:rsidRPr="00724433" w:rsidRDefault="00724433" w:rsidP="00724433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МП </w:t>
      </w:r>
      <w:r w:rsidRPr="00724433">
        <w:rPr>
          <w:kern w:val="2"/>
          <w:lang w:eastAsia="ar-SA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>
        <w:rPr>
          <w:kern w:val="2"/>
          <w:lang w:eastAsia="ar-SA"/>
        </w:rPr>
        <w:t xml:space="preserve"> – на </w:t>
      </w:r>
      <w:r w:rsidRPr="00724433">
        <w:rPr>
          <w:kern w:val="2"/>
          <w:lang w:eastAsia="ar-SA"/>
        </w:rPr>
        <w:t>5950,55</w:t>
      </w:r>
      <w:r>
        <w:rPr>
          <w:kern w:val="2"/>
          <w:lang w:eastAsia="ar-SA"/>
        </w:rPr>
        <w:t xml:space="preserve"> тыс. руб.</w:t>
      </w:r>
      <w:r w:rsidR="00B032AC">
        <w:rPr>
          <w:kern w:val="2"/>
          <w:lang w:eastAsia="ar-SA"/>
        </w:rPr>
        <w:t>,</w:t>
      </w:r>
    </w:p>
    <w:p w:rsidR="00724433" w:rsidRPr="00724433" w:rsidRDefault="00724433" w:rsidP="00724433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МП </w:t>
      </w:r>
      <w:r w:rsidRPr="00724433">
        <w:rPr>
          <w:kern w:val="2"/>
          <w:lang w:eastAsia="ar-SA"/>
        </w:rPr>
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</w:t>
      </w:r>
      <w:r>
        <w:rPr>
          <w:kern w:val="2"/>
          <w:lang w:eastAsia="ar-SA"/>
        </w:rPr>
        <w:t xml:space="preserve"> – на </w:t>
      </w:r>
      <w:r w:rsidRPr="00724433">
        <w:rPr>
          <w:kern w:val="2"/>
          <w:lang w:eastAsia="ar-SA"/>
        </w:rPr>
        <w:t>3078,82</w:t>
      </w:r>
      <w:r>
        <w:rPr>
          <w:kern w:val="2"/>
          <w:lang w:eastAsia="ar-SA"/>
        </w:rPr>
        <w:t xml:space="preserve"> тыс. руб.</w:t>
      </w:r>
      <w:r w:rsidR="00B032AC">
        <w:rPr>
          <w:kern w:val="2"/>
          <w:lang w:eastAsia="ar-SA"/>
        </w:rPr>
        <w:t>,</w:t>
      </w:r>
    </w:p>
    <w:p w:rsidR="00724433" w:rsidRPr="00724433" w:rsidRDefault="00724433" w:rsidP="00724433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МП </w:t>
      </w:r>
      <w:r w:rsidRPr="00724433">
        <w:rPr>
          <w:kern w:val="2"/>
          <w:lang w:eastAsia="ar-SA"/>
        </w:rPr>
        <w:t>"Модернизация дорожной сети Лесозаводского городского округа"</w:t>
      </w:r>
      <w:r>
        <w:rPr>
          <w:kern w:val="2"/>
          <w:lang w:eastAsia="ar-SA"/>
        </w:rPr>
        <w:t xml:space="preserve"> – на </w:t>
      </w:r>
      <w:r w:rsidRPr="00724433">
        <w:rPr>
          <w:kern w:val="2"/>
          <w:lang w:eastAsia="ar-SA"/>
        </w:rPr>
        <w:t>600</w:t>
      </w:r>
      <w:r>
        <w:rPr>
          <w:kern w:val="2"/>
          <w:lang w:eastAsia="ar-SA"/>
        </w:rPr>
        <w:t xml:space="preserve"> тыс. руб.</w:t>
      </w:r>
      <w:r w:rsidR="00B032AC">
        <w:rPr>
          <w:kern w:val="2"/>
          <w:lang w:eastAsia="ar-SA"/>
        </w:rPr>
        <w:t>,</w:t>
      </w:r>
    </w:p>
    <w:p w:rsidR="00724433" w:rsidRPr="00724433" w:rsidRDefault="00724433" w:rsidP="00724433">
      <w:pPr>
        <w:spacing w:line="276" w:lineRule="auto"/>
        <w:ind w:firstLine="709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МП </w:t>
      </w:r>
      <w:r w:rsidRPr="00724433">
        <w:rPr>
          <w:kern w:val="2"/>
          <w:lang w:eastAsia="ar-SA"/>
        </w:rPr>
        <w:t>"Развитие физической культуры и спорта на территории Лесозаводского городского округа"</w:t>
      </w:r>
      <w:r>
        <w:rPr>
          <w:kern w:val="2"/>
          <w:lang w:eastAsia="ar-SA"/>
        </w:rPr>
        <w:t xml:space="preserve"> – на </w:t>
      </w:r>
      <w:r w:rsidRPr="00724433">
        <w:rPr>
          <w:kern w:val="2"/>
          <w:lang w:eastAsia="ar-SA"/>
        </w:rPr>
        <w:t>1309,56</w:t>
      </w:r>
      <w:r>
        <w:rPr>
          <w:kern w:val="2"/>
          <w:lang w:eastAsia="ar-SA"/>
        </w:rPr>
        <w:t xml:space="preserve"> тыс. руб.</w:t>
      </w:r>
    </w:p>
    <w:p w:rsidR="00B032AC" w:rsidRPr="00B032AC" w:rsidRDefault="00B032AC" w:rsidP="00C309B6">
      <w:pPr>
        <w:autoSpaceDE w:val="0"/>
        <w:autoSpaceDN w:val="0"/>
        <w:adjustRightInd w:val="0"/>
        <w:ind w:firstLine="709"/>
        <w:jc w:val="both"/>
      </w:pPr>
      <w:r w:rsidRPr="00B032AC">
        <w:rPr>
          <w:b/>
        </w:rPr>
        <w:t>Сокращаются расходы</w:t>
      </w:r>
      <w:r>
        <w:t xml:space="preserve"> по муниципальным программам</w:t>
      </w:r>
      <w:r w:rsidRPr="00B032AC">
        <w:t>:</w:t>
      </w:r>
    </w:p>
    <w:p w:rsidR="00B032AC" w:rsidRDefault="00B032AC" w:rsidP="00B032AC">
      <w:pPr>
        <w:autoSpaceDE w:val="0"/>
        <w:autoSpaceDN w:val="0"/>
        <w:adjustRightInd w:val="0"/>
        <w:ind w:firstLine="709"/>
        <w:jc w:val="both"/>
      </w:pPr>
      <w:r>
        <w:t xml:space="preserve">МП </w:t>
      </w:r>
      <w:r>
        <w:t>"Обеспечение доступными и качественными услугами жилищно-коммунального комплекса населения Ле</w:t>
      </w:r>
      <w:r>
        <w:t xml:space="preserve">созаводского городского округа" – на </w:t>
      </w:r>
      <w:r>
        <w:t>828,9</w:t>
      </w:r>
      <w:r>
        <w:t xml:space="preserve"> тыс. руб.,</w:t>
      </w:r>
    </w:p>
    <w:p w:rsidR="00B032AC" w:rsidRDefault="00B032AC" w:rsidP="00B032AC">
      <w:pPr>
        <w:autoSpaceDE w:val="0"/>
        <w:autoSpaceDN w:val="0"/>
        <w:adjustRightInd w:val="0"/>
        <w:ind w:firstLine="709"/>
        <w:jc w:val="both"/>
      </w:pPr>
      <w:r>
        <w:t xml:space="preserve">МП </w:t>
      </w:r>
      <w:r>
        <w:t>"Сохранение и развитие культуры на территории Ле</w:t>
      </w:r>
      <w:r>
        <w:t xml:space="preserve">созаводского городского округа" – на </w:t>
      </w:r>
      <w:r>
        <w:t>11671,43</w:t>
      </w:r>
      <w:r>
        <w:t xml:space="preserve"> тыс. руб.</w:t>
      </w:r>
    </w:p>
    <w:p w:rsidR="00B032AC" w:rsidRDefault="00B032AC" w:rsidP="00B032A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032AC">
        <w:rPr>
          <w:rFonts w:eastAsia="Calibri"/>
          <w:lang w:eastAsia="en-US"/>
        </w:rPr>
        <w:t>П</w:t>
      </w:r>
      <w:r w:rsidRPr="003949B7">
        <w:rPr>
          <w:rFonts w:eastAsiaTheme="minorHAnsi"/>
          <w:lang w:eastAsia="en-US"/>
        </w:rPr>
        <w:t xml:space="preserve">роекты изменений в </w:t>
      </w:r>
      <w:r w:rsidRPr="00B032AC">
        <w:rPr>
          <w:rFonts w:eastAsiaTheme="minorHAnsi"/>
          <w:lang w:eastAsia="en-US"/>
        </w:rPr>
        <w:t>указанные муниципальные программы в Контрольно-счетную палату на экспертизу не представлялись.</w:t>
      </w:r>
      <w:r w:rsidRPr="00B032AC">
        <w:rPr>
          <w:rFonts w:eastAsia="Calibri"/>
          <w:lang w:eastAsia="en-US"/>
        </w:rPr>
        <w:t xml:space="preserve"> </w:t>
      </w:r>
    </w:p>
    <w:p w:rsidR="0091394E" w:rsidRPr="00B032AC" w:rsidRDefault="0091394E" w:rsidP="00B032A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C45F7D" w:rsidRPr="00B032AC" w:rsidRDefault="00C45F7D" w:rsidP="00C45F7D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В </w:t>
      </w:r>
      <w:r w:rsidR="00B032AC">
        <w:rPr>
          <w:rFonts w:eastAsia="Calibri"/>
          <w:kern w:val="2"/>
          <w:lang w:eastAsia="en-US"/>
        </w:rPr>
        <w:t>с</w:t>
      </w:r>
      <w:r>
        <w:rPr>
          <w:rFonts w:eastAsia="Calibri"/>
          <w:kern w:val="2"/>
          <w:lang w:eastAsia="en-US"/>
        </w:rPr>
        <w:t xml:space="preserve">мету доходов и расходов дорожного фонда </w:t>
      </w:r>
      <w:r w:rsidR="003D3BCA" w:rsidRPr="003D3BCA">
        <w:rPr>
          <w:rFonts w:eastAsia="Calibri"/>
          <w:kern w:val="2"/>
          <w:lang w:eastAsia="en-US"/>
        </w:rPr>
        <w:t xml:space="preserve">Лесозаводского городского округа </w:t>
      </w:r>
      <w:r>
        <w:rPr>
          <w:rFonts w:eastAsia="Calibri"/>
          <w:kern w:val="2"/>
          <w:lang w:eastAsia="en-US"/>
        </w:rPr>
        <w:t>(приложение №4 к проекту решения) вносятся изменения в расходную часть без изменения общего объема</w:t>
      </w:r>
      <w:r w:rsidR="00B032AC" w:rsidRPr="00B032AC">
        <w:rPr>
          <w:rFonts w:eastAsia="Calibri"/>
          <w:kern w:val="2"/>
          <w:lang w:eastAsia="en-US"/>
        </w:rPr>
        <w:t>:</w:t>
      </w:r>
    </w:p>
    <w:p w:rsidR="00C45F7D" w:rsidRDefault="00C45F7D" w:rsidP="00C45F7D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 проектирование, строи</w:t>
      </w:r>
      <w:r w:rsidRPr="00C45F7D">
        <w:rPr>
          <w:rFonts w:eastAsia="Calibri"/>
          <w:kern w:val="2"/>
          <w:lang w:eastAsia="en-US"/>
        </w:rPr>
        <w:t>тельство, реконструкция автомобильных дорог общего пользования местного значения городского округа и искусственных сооружений на них</w:t>
      </w:r>
      <w:r>
        <w:rPr>
          <w:rFonts w:eastAsia="Calibri"/>
          <w:kern w:val="2"/>
          <w:lang w:eastAsia="en-US"/>
        </w:rPr>
        <w:t xml:space="preserve"> – </w:t>
      </w:r>
      <w:r w:rsidR="00B032AC">
        <w:rPr>
          <w:rFonts w:eastAsia="Calibri"/>
          <w:kern w:val="2"/>
          <w:lang w:eastAsia="en-US"/>
        </w:rPr>
        <w:t xml:space="preserve">бюджетные ассигнования </w:t>
      </w:r>
      <w:r>
        <w:rPr>
          <w:rFonts w:eastAsia="Calibri"/>
          <w:kern w:val="2"/>
          <w:lang w:eastAsia="en-US"/>
        </w:rPr>
        <w:t>уменьша</w:t>
      </w:r>
      <w:r w:rsidR="00B032AC">
        <w:rPr>
          <w:rFonts w:eastAsia="Calibri"/>
          <w:kern w:val="2"/>
          <w:lang w:eastAsia="en-US"/>
        </w:rPr>
        <w:t>ю</w:t>
      </w:r>
      <w:r>
        <w:rPr>
          <w:rFonts w:eastAsia="Calibri"/>
          <w:kern w:val="2"/>
          <w:lang w:eastAsia="en-US"/>
        </w:rPr>
        <w:t>тся на 600 тыс. руб. и состав</w:t>
      </w:r>
      <w:r w:rsidR="00B032AC">
        <w:rPr>
          <w:rFonts w:eastAsia="Calibri"/>
          <w:kern w:val="2"/>
          <w:lang w:eastAsia="en-US"/>
        </w:rPr>
        <w:t>я</w:t>
      </w:r>
      <w:r w:rsidR="00A96D66">
        <w:rPr>
          <w:rFonts w:eastAsia="Calibri"/>
          <w:kern w:val="2"/>
          <w:lang w:eastAsia="en-US"/>
        </w:rPr>
        <w:t>т</w:t>
      </w:r>
      <w:r>
        <w:rPr>
          <w:rFonts w:eastAsia="Calibri"/>
          <w:kern w:val="2"/>
          <w:lang w:eastAsia="en-US"/>
        </w:rPr>
        <w:t xml:space="preserve"> </w:t>
      </w:r>
      <w:r w:rsidRPr="00C45F7D">
        <w:rPr>
          <w:rFonts w:eastAsia="Calibri"/>
          <w:kern w:val="2"/>
          <w:lang w:eastAsia="en-US"/>
        </w:rPr>
        <w:t>3222,6</w:t>
      </w:r>
      <w:r>
        <w:rPr>
          <w:rFonts w:eastAsia="Calibri"/>
          <w:kern w:val="2"/>
          <w:lang w:eastAsia="en-US"/>
        </w:rPr>
        <w:t xml:space="preserve"> тыс. руб.,</w:t>
      </w:r>
    </w:p>
    <w:p w:rsidR="00C45F7D" w:rsidRDefault="00C45F7D" w:rsidP="00C45F7D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 с</w:t>
      </w:r>
      <w:r w:rsidRPr="00C45F7D">
        <w:rPr>
          <w:rFonts w:eastAsia="Calibri"/>
          <w:kern w:val="2"/>
          <w:lang w:eastAsia="en-US"/>
        </w:rPr>
        <w:t>одержание автомобильных дорог общего пользования местного значения городского округа и искусственных сооружений на них</w:t>
      </w:r>
      <w:r>
        <w:rPr>
          <w:rFonts w:eastAsia="Calibri"/>
          <w:kern w:val="2"/>
          <w:lang w:eastAsia="en-US"/>
        </w:rPr>
        <w:t xml:space="preserve"> –</w:t>
      </w:r>
      <w:r w:rsidR="00B032AC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увеличива</w:t>
      </w:r>
      <w:r w:rsidR="00B032AC">
        <w:rPr>
          <w:rFonts w:eastAsia="Calibri"/>
          <w:kern w:val="2"/>
          <w:lang w:eastAsia="en-US"/>
        </w:rPr>
        <w:t>ю</w:t>
      </w:r>
      <w:r>
        <w:rPr>
          <w:rFonts w:eastAsia="Calibri"/>
          <w:kern w:val="2"/>
          <w:lang w:eastAsia="en-US"/>
        </w:rPr>
        <w:t>тся на 600 тыс. руб. и состав</w:t>
      </w:r>
      <w:r w:rsidR="00B032AC">
        <w:rPr>
          <w:rFonts w:eastAsia="Calibri"/>
          <w:kern w:val="2"/>
          <w:lang w:eastAsia="en-US"/>
        </w:rPr>
        <w:t>я</w:t>
      </w:r>
      <w:r>
        <w:rPr>
          <w:rFonts w:eastAsia="Calibri"/>
          <w:kern w:val="2"/>
          <w:lang w:eastAsia="en-US"/>
        </w:rPr>
        <w:t>т 1</w:t>
      </w:r>
      <w:r w:rsidRPr="00C45F7D">
        <w:rPr>
          <w:rFonts w:eastAsia="Calibri"/>
          <w:kern w:val="2"/>
          <w:lang w:eastAsia="en-US"/>
        </w:rPr>
        <w:t>7555,3</w:t>
      </w:r>
      <w:r>
        <w:rPr>
          <w:rFonts w:eastAsia="Calibri"/>
          <w:kern w:val="2"/>
          <w:lang w:eastAsia="en-US"/>
        </w:rPr>
        <w:t xml:space="preserve"> тыс. руб.</w:t>
      </w:r>
    </w:p>
    <w:p w:rsidR="00A96D66" w:rsidRPr="00A96D66" w:rsidRDefault="00C45F7D" w:rsidP="00C45F7D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Однако </w:t>
      </w:r>
      <w:proofErr w:type="gramStart"/>
      <w:r>
        <w:rPr>
          <w:rFonts w:eastAsia="Calibri"/>
          <w:kern w:val="2"/>
          <w:lang w:eastAsia="en-US"/>
        </w:rPr>
        <w:t>согласно приложений</w:t>
      </w:r>
      <w:proofErr w:type="gramEnd"/>
      <w:r>
        <w:rPr>
          <w:rFonts w:eastAsia="Calibri"/>
          <w:kern w:val="2"/>
          <w:lang w:eastAsia="en-US"/>
        </w:rPr>
        <w:t xml:space="preserve"> к проекту решения о распределении бюджетных ассигнований по разделам, подразделам, целевым статьям и видам расходов (приложение №1) и </w:t>
      </w:r>
      <w:r w:rsidR="00A96D66">
        <w:rPr>
          <w:rFonts w:eastAsia="Calibri"/>
          <w:kern w:val="2"/>
          <w:lang w:eastAsia="en-US"/>
        </w:rPr>
        <w:t xml:space="preserve">по ведомственной структуре (приложение </w:t>
      </w:r>
      <w:r>
        <w:rPr>
          <w:rFonts w:eastAsia="Calibri"/>
          <w:kern w:val="2"/>
          <w:lang w:eastAsia="en-US"/>
        </w:rPr>
        <w:t>№</w:t>
      </w:r>
      <w:r w:rsidR="00A96D66">
        <w:rPr>
          <w:rFonts w:eastAsia="Calibri"/>
          <w:kern w:val="2"/>
          <w:lang w:eastAsia="en-US"/>
        </w:rPr>
        <w:t>2) в</w:t>
      </w:r>
      <w:r>
        <w:rPr>
          <w:rFonts w:eastAsia="Calibri"/>
          <w:kern w:val="2"/>
          <w:lang w:eastAsia="en-US"/>
        </w:rPr>
        <w:t xml:space="preserve">носятся </w:t>
      </w:r>
      <w:r w:rsidR="00A96D66">
        <w:rPr>
          <w:rFonts w:eastAsia="Calibri"/>
          <w:kern w:val="2"/>
          <w:lang w:eastAsia="en-US"/>
        </w:rPr>
        <w:t xml:space="preserve">по подразделу 0409 </w:t>
      </w:r>
      <w:r w:rsidR="000B7823">
        <w:rPr>
          <w:rFonts w:eastAsia="Calibri"/>
          <w:kern w:val="2"/>
          <w:lang w:eastAsia="en-US"/>
        </w:rPr>
        <w:t xml:space="preserve">«Дорожное хозяйство» </w:t>
      </w:r>
      <w:r w:rsidR="00A96D66">
        <w:rPr>
          <w:rFonts w:eastAsia="Calibri"/>
          <w:kern w:val="2"/>
          <w:lang w:eastAsia="en-US"/>
        </w:rPr>
        <w:t>иные изменения</w:t>
      </w:r>
      <w:r w:rsidR="00A96D66" w:rsidRPr="00A96D66">
        <w:rPr>
          <w:rFonts w:eastAsia="Calibri"/>
          <w:kern w:val="2"/>
          <w:lang w:eastAsia="en-US"/>
        </w:rPr>
        <w:t>:</w:t>
      </w:r>
    </w:p>
    <w:p w:rsidR="00A96D66" w:rsidRDefault="00A96D66" w:rsidP="00A96D66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 с</w:t>
      </w:r>
      <w:r w:rsidRPr="00C45F7D">
        <w:rPr>
          <w:rFonts w:eastAsia="Calibri"/>
          <w:kern w:val="2"/>
          <w:lang w:eastAsia="en-US"/>
        </w:rPr>
        <w:t>одержание автомобильных дорог общего пользования местного значения городского округа и искусственных сооружений на них</w:t>
      </w:r>
      <w:r>
        <w:rPr>
          <w:rFonts w:eastAsia="Calibri"/>
          <w:kern w:val="2"/>
          <w:lang w:eastAsia="en-US"/>
        </w:rPr>
        <w:t xml:space="preserve"> –</w:t>
      </w:r>
      <w:r w:rsidR="00B032AC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>увеличива</w:t>
      </w:r>
      <w:r w:rsidR="003D3BCA">
        <w:rPr>
          <w:rFonts w:eastAsia="Calibri"/>
          <w:kern w:val="2"/>
          <w:lang w:eastAsia="en-US"/>
        </w:rPr>
        <w:t>ю</w:t>
      </w:r>
      <w:r>
        <w:rPr>
          <w:rFonts w:eastAsia="Calibri"/>
          <w:kern w:val="2"/>
          <w:lang w:eastAsia="en-US"/>
        </w:rPr>
        <w:t>тся на 465,41 тыс. руб.</w:t>
      </w:r>
      <w:r w:rsidR="003D3BCA">
        <w:rPr>
          <w:rFonts w:eastAsia="Calibri"/>
          <w:kern w:val="2"/>
          <w:lang w:eastAsia="en-US"/>
        </w:rPr>
        <w:t>,</w:t>
      </w:r>
    </w:p>
    <w:p w:rsidR="00A96D66" w:rsidRDefault="00A96D66" w:rsidP="00A96D66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Pr="00A96D66">
        <w:rPr>
          <w:rFonts w:eastAsia="Calibri"/>
          <w:kern w:val="2"/>
          <w:lang w:eastAsia="en-US"/>
        </w:rPr>
        <w:t xml:space="preserve">повышение уровня безопасности дорожного движения </w:t>
      </w:r>
      <w:r>
        <w:rPr>
          <w:rFonts w:eastAsia="Calibri"/>
          <w:kern w:val="2"/>
          <w:lang w:eastAsia="en-US"/>
        </w:rPr>
        <w:t>– увеличива</w:t>
      </w:r>
      <w:r w:rsidR="003D3BCA">
        <w:rPr>
          <w:rFonts w:eastAsia="Calibri"/>
          <w:kern w:val="2"/>
          <w:lang w:eastAsia="en-US"/>
        </w:rPr>
        <w:t>ю</w:t>
      </w:r>
      <w:r>
        <w:rPr>
          <w:rFonts w:eastAsia="Calibri"/>
          <w:kern w:val="2"/>
          <w:lang w:eastAsia="en-US"/>
        </w:rPr>
        <w:t>тся на 134,59 тыс. руб.</w:t>
      </w:r>
    </w:p>
    <w:p w:rsidR="00A96D66" w:rsidRPr="000B7823" w:rsidRDefault="00A96D66" w:rsidP="00C45F7D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4D2307" w:rsidRDefault="004D2307" w:rsidP="004D2307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lang w:eastAsia="en-US"/>
        </w:rPr>
      </w:pPr>
      <w:r w:rsidRPr="004D2307">
        <w:rPr>
          <w:rFonts w:eastAsiaTheme="minorHAnsi"/>
          <w:b/>
          <w:bCs/>
          <w:lang w:eastAsia="en-US"/>
        </w:rPr>
        <w:t>Дефицит бюджета. Муниципальный долг.</w:t>
      </w:r>
    </w:p>
    <w:p w:rsidR="004C777F" w:rsidRPr="000B7823" w:rsidRDefault="004C777F" w:rsidP="004C777F">
      <w:pPr>
        <w:autoSpaceDE w:val="0"/>
        <w:autoSpaceDN w:val="0"/>
        <w:adjustRightInd w:val="0"/>
        <w:ind w:left="420"/>
        <w:contextualSpacing/>
        <w:rPr>
          <w:rFonts w:eastAsiaTheme="minorHAnsi"/>
          <w:b/>
          <w:bCs/>
          <w:sz w:val="16"/>
          <w:szCs w:val="16"/>
          <w:lang w:eastAsia="en-US"/>
        </w:rPr>
      </w:pPr>
    </w:p>
    <w:p w:rsidR="004D2307" w:rsidRPr="004D2307" w:rsidRDefault="003D3BCA" w:rsidP="00A72A58">
      <w:pPr>
        <w:autoSpaceDE w:val="0"/>
        <w:autoSpaceDN w:val="0"/>
        <w:adjustRightInd w:val="0"/>
        <w:ind w:firstLine="420"/>
        <w:jc w:val="both"/>
        <w:rPr>
          <w:rFonts w:eastAsiaTheme="minorHAnsi"/>
          <w:b/>
          <w:bCs/>
          <w:lang w:eastAsia="en-US"/>
        </w:rPr>
      </w:pPr>
      <w:r w:rsidRPr="004D2307">
        <w:rPr>
          <w:rFonts w:eastAsia="TimesNewRomanPSMT"/>
          <w:lang w:eastAsia="en-US"/>
        </w:rPr>
        <w:t>Д</w:t>
      </w:r>
      <w:r w:rsidR="004D2307" w:rsidRPr="004D2307">
        <w:rPr>
          <w:rFonts w:eastAsia="TimesNewRomanPSMT"/>
          <w:lang w:eastAsia="en-US"/>
        </w:rPr>
        <w:t>ефицит бюджета на 201</w:t>
      </w:r>
      <w:r w:rsidR="00C71996">
        <w:rPr>
          <w:rFonts w:eastAsia="TimesNewRomanPSMT"/>
          <w:lang w:eastAsia="en-US"/>
        </w:rPr>
        <w:t>9</w:t>
      </w:r>
      <w:r w:rsidR="004D2307" w:rsidRPr="004D2307">
        <w:rPr>
          <w:rFonts w:eastAsia="TimesNewRomanPSMT"/>
          <w:lang w:eastAsia="en-US"/>
        </w:rPr>
        <w:t xml:space="preserve"> год предусматривается в сумме </w:t>
      </w:r>
      <w:r w:rsidR="004D2307" w:rsidRPr="004D2307">
        <w:rPr>
          <w:rFonts w:eastAsiaTheme="minorHAnsi"/>
          <w:lang w:eastAsia="en-US"/>
        </w:rPr>
        <w:t>2</w:t>
      </w:r>
      <w:r w:rsidR="00246439">
        <w:rPr>
          <w:rFonts w:eastAsiaTheme="minorHAnsi"/>
          <w:lang w:eastAsia="en-US"/>
        </w:rPr>
        <w:t>4184</w:t>
      </w:r>
      <w:r w:rsidR="004D2307" w:rsidRPr="004D2307">
        <w:rPr>
          <w:rFonts w:eastAsiaTheme="minorHAnsi"/>
          <w:lang w:eastAsia="en-US"/>
        </w:rPr>
        <w:t xml:space="preserve"> тыс.</w:t>
      </w:r>
      <w:r w:rsidR="00F90AB8">
        <w:rPr>
          <w:rFonts w:eastAsiaTheme="minorHAnsi"/>
          <w:lang w:eastAsia="en-US"/>
        </w:rPr>
        <w:t xml:space="preserve"> </w:t>
      </w:r>
      <w:r w:rsidR="004D2307" w:rsidRPr="004D2307">
        <w:rPr>
          <w:rFonts w:eastAsiaTheme="minorHAnsi"/>
          <w:lang w:eastAsia="en-US"/>
        </w:rPr>
        <w:t xml:space="preserve">руб. </w:t>
      </w:r>
      <w:r w:rsidR="004D2307" w:rsidRPr="004D2307">
        <w:rPr>
          <w:rFonts w:eastAsia="TimesNewRomanPSMT"/>
          <w:lang w:eastAsia="en-US"/>
        </w:rPr>
        <w:t>или 9,</w:t>
      </w:r>
      <w:r w:rsidR="005B382D">
        <w:rPr>
          <w:rFonts w:eastAsia="TimesNewRomanPSMT"/>
          <w:lang w:eastAsia="en-US"/>
        </w:rPr>
        <w:t>8</w:t>
      </w:r>
      <w:r w:rsidR="004D2307" w:rsidRPr="004D2307">
        <w:rPr>
          <w:rFonts w:eastAsia="TimesNewRomanPSMT"/>
          <w:lang w:eastAsia="en-US"/>
        </w:rPr>
        <w:t>% от доходов бюджета без учета безвозмездных поступлений, что соответствует требованиям, установленным абзацем первым пункта 3 статьи 92.1 Бюджетного кодекса Российской Федерации.</w:t>
      </w:r>
    </w:p>
    <w:p w:rsidR="003D3BCA" w:rsidRPr="003D3BCA" w:rsidRDefault="003D3BCA" w:rsidP="003D3BCA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 w:rsidRPr="003D3BCA">
        <w:rPr>
          <w:rFonts w:eastAsia="Calibri"/>
        </w:rPr>
        <w:t xml:space="preserve">Проектом </w:t>
      </w:r>
      <w:r>
        <w:rPr>
          <w:rFonts w:eastAsia="Calibri"/>
        </w:rPr>
        <w:t>р</w:t>
      </w:r>
      <w:r w:rsidRPr="003D3BCA">
        <w:rPr>
          <w:rFonts w:eastAsia="Calibri"/>
        </w:rPr>
        <w:t xml:space="preserve">ешения вносятся изменения в приложение №20 к бюджету «Программа муниципальных внутренних заимствований Лесозаводского городского округа на 2019 год» и приложение №21 к бюджету «Программа муниципальных внутренних заимствований Лесозаводского городского округа на плановый период 2020 и 2021 годов». </w:t>
      </w:r>
    </w:p>
    <w:p w:rsidR="003D3BCA" w:rsidRPr="003D3BCA" w:rsidRDefault="003D3BCA" w:rsidP="003D3BCA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 w:rsidRPr="003D3BCA">
        <w:rPr>
          <w:rFonts w:eastAsia="Calibri"/>
        </w:rPr>
        <w:t>В 2019 году предусмотрено уменьшение муниципальных внутренних заимствований путем снижения объема привлекаемых коммерческих кредитов  на сумму 24000 тыс.</w:t>
      </w:r>
      <w:r w:rsidR="000B7823">
        <w:rPr>
          <w:rFonts w:eastAsia="Calibri"/>
        </w:rPr>
        <w:t xml:space="preserve"> </w:t>
      </w:r>
      <w:r w:rsidRPr="003D3BCA">
        <w:rPr>
          <w:rFonts w:eastAsia="Calibri"/>
        </w:rPr>
        <w:t>руб.  и предусмотрен объем привлекаемых бюджетных кредитов на 24000 тыс.</w:t>
      </w:r>
      <w:r w:rsidR="000B7823">
        <w:rPr>
          <w:rFonts w:eastAsia="Calibri"/>
        </w:rPr>
        <w:t xml:space="preserve"> </w:t>
      </w:r>
      <w:r w:rsidRPr="003D3BCA">
        <w:rPr>
          <w:rFonts w:eastAsia="Calibri"/>
        </w:rPr>
        <w:t xml:space="preserve">руб. </w:t>
      </w:r>
    </w:p>
    <w:p w:rsidR="00C71996" w:rsidRDefault="003D3BCA" w:rsidP="003D3BCA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 w:rsidRPr="003D3BCA">
        <w:rPr>
          <w:rFonts w:eastAsia="Calibri"/>
        </w:rPr>
        <w:tab/>
        <w:t>В 2020 и 2021 годах предусмотрено уменьшение объема привлекаемых коммерческих кредитов  на 24000 тыс.</w:t>
      </w:r>
      <w:r w:rsidR="000B7823">
        <w:rPr>
          <w:rFonts w:eastAsia="Calibri"/>
        </w:rPr>
        <w:t xml:space="preserve"> </w:t>
      </w:r>
      <w:r w:rsidRPr="003D3BCA">
        <w:rPr>
          <w:rFonts w:eastAsia="Calibri"/>
        </w:rPr>
        <w:t xml:space="preserve">руб. </w:t>
      </w:r>
    </w:p>
    <w:p w:rsidR="00AB2971" w:rsidRDefault="00AB2971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>
        <w:rPr>
          <w:rFonts w:eastAsia="Calibri"/>
        </w:rPr>
        <w:t>Контрольно-счетная палата ЛГО предлагает Думе ЛГО рассмотреть проект решения с учетом замечаний и предложений, изложенных в настоящем заключении.</w:t>
      </w:r>
    </w:p>
    <w:p w:rsidR="003D3BCA" w:rsidRDefault="003D3BCA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AB2971" w:rsidRPr="003D3BCA" w:rsidRDefault="003D3BCA" w:rsidP="003D3BC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Предложения</w:t>
      </w:r>
      <w:r w:rsidRPr="003D3BCA">
        <w:rPr>
          <w:rFonts w:eastAsia="Calibri"/>
        </w:rPr>
        <w:t>:</w:t>
      </w:r>
      <w:r>
        <w:rPr>
          <w:rFonts w:eastAsia="Calibri"/>
        </w:rPr>
        <w:t xml:space="preserve"> </w:t>
      </w:r>
    </w:p>
    <w:p w:rsidR="00AB2971" w:rsidRDefault="003D3BCA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 w:rsidRPr="003D3BCA">
        <w:rPr>
          <w:rFonts w:eastAsia="Calibri"/>
        </w:rPr>
        <w:t>1.</w:t>
      </w:r>
      <w:r w:rsidRPr="003D3BCA">
        <w:rPr>
          <w:rFonts w:eastAsia="Calibri"/>
        </w:rPr>
        <w:tab/>
        <w:t>В соответствии с проектом решения  внести изменения в Смету доходов и расходов дорожного фонда Лесозаводского городского округа на 2019 год.</w:t>
      </w:r>
    </w:p>
    <w:p w:rsidR="00AB2971" w:rsidRDefault="00AB2971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0B7823" w:rsidRDefault="000B7823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91394E" w:rsidRDefault="0091394E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91394E" w:rsidRDefault="0091394E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91394E" w:rsidRDefault="0091394E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E043D6" w:rsidRPr="00E043D6" w:rsidRDefault="00E043D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Ведущий инспектор </w:t>
      </w:r>
      <w:r w:rsidRPr="00E043D6">
        <w:rPr>
          <w:rFonts w:eastAsia="Calibri"/>
        </w:rPr>
        <w:t>Контрольно-счетной палаты</w:t>
      </w:r>
    </w:p>
    <w:p w:rsidR="007327C2" w:rsidRDefault="00E043D6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         </w:t>
      </w:r>
      <w:r w:rsidR="000B7823">
        <w:rPr>
          <w:rFonts w:eastAsia="Calibri"/>
        </w:rPr>
        <w:t xml:space="preserve">        </w:t>
      </w:r>
      <w:r w:rsidRPr="00E043D6">
        <w:rPr>
          <w:rFonts w:eastAsia="Calibri"/>
        </w:rPr>
        <w:t xml:space="preserve">                              </w:t>
      </w:r>
      <w:proofErr w:type="spellStart"/>
      <w:r>
        <w:rPr>
          <w:rFonts w:eastAsia="Calibri"/>
        </w:rPr>
        <w:t>О.А.Журкова</w:t>
      </w:r>
      <w:proofErr w:type="spellEnd"/>
    </w:p>
    <w:sectPr w:rsidR="007327C2" w:rsidSect="000B7823">
      <w:headerReference w:type="even" r:id="rId9"/>
      <w:headerReference w:type="default" r:id="rId10"/>
      <w:pgSz w:w="11906" w:h="16838"/>
      <w:pgMar w:top="737" w:right="737" w:bottom="737" w:left="136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B3" w:rsidRDefault="006E19B3" w:rsidP="004C337E">
      <w:r>
        <w:separator/>
      </w:r>
    </w:p>
  </w:endnote>
  <w:endnote w:type="continuationSeparator" w:id="0">
    <w:p w:rsidR="006E19B3" w:rsidRDefault="006E19B3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B3" w:rsidRDefault="006E19B3" w:rsidP="004C337E">
      <w:r>
        <w:separator/>
      </w:r>
    </w:p>
  </w:footnote>
  <w:footnote w:type="continuationSeparator" w:id="0">
    <w:p w:rsidR="006E19B3" w:rsidRDefault="006E19B3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B3" w:rsidRDefault="006E19B3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E19B3" w:rsidRDefault="006E19B3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Content>
      <w:p w:rsidR="006E19B3" w:rsidRDefault="006E19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936">
          <w:rPr>
            <w:noProof/>
          </w:rPr>
          <w:t>7</w:t>
        </w:r>
        <w:r>
          <w:fldChar w:fldCharType="end"/>
        </w:r>
      </w:p>
    </w:sdtContent>
  </w:sdt>
  <w:p w:rsidR="006E19B3" w:rsidRDefault="006E19B3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5A3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EE5"/>
    <w:rsid w:val="0013221D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EA1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5E5"/>
    <w:rsid w:val="00435DD0"/>
    <w:rsid w:val="00435DF1"/>
    <w:rsid w:val="00436012"/>
    <w:rsid w:val="00436EBE"/>
    <w:rsid w:val="004374D2"/>
    <w:rsid w:val="00437E81"/>
    <w:rsid w:val="00440413"/>
    <w:rsid w:val="00440A95"/>
    <w:rsid w:val="00440DB3"/>
    <w:rsid w:val="00441838"/>
    <w:rsid w:val="00441D1D"/>
    <w:rsid w:val="00441EB1"/>
    <w:rsid w:val="00442417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A13"/>
    <w:rsid w:val="00491561"/>
    <w:rsid w:val="0049328A"/>
    <w:rsid w:val="004937F7"/>
    <w:rsid w:val="004939E0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77F"/>
    <w:rsid w:val="004C7C6C"/>
    <w:rsid w:val="004D00DD"/>
    <w:rsid w:val="004D1144"/>
    <w:rsid w:val="004D131E"/>
    <w:rsid w:val="004D2307"/>
    <w:rsid w:val="004D2653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6C7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100"/>
    <w:rsid w:val="006845E1"/>
    <w:rsid w:val="00684D86"/>
    <w:rsid w:val="00685218"/>
    <w:rsid w:val="00685930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7CF"/>
    <w:rsid w:val="007238D8"/>
    <w:rsid w:val="00723944"/>
    <w:rsid w:val="00724433"/>
    <w:rsid w:val="00724592"/>
    <w:rsid w:val="007247E4"/>
    <w:rsid w:val="00724CE0"/>
    <w:rsid w:val="00724D38"/>
    <w:rsid w:val="00724E5A"/>
    <w:rsid w:val="00724FBC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8A4"/>
    <w:rsid w:val="007E2DE1"/>
    <w:rsid w:val="007E309B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5DB9"/>
    <w:rsid w:val="00876D85"/>
    <w:rsid w:val="00876F5F"/>
    <w:rsid w:val="00877FEE"/>
    <w:rsid w:val="00880A99"/>
    <w:rsid w:val="00880B1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94E"/>
    <w:rsid w:val="00913C8B"/>
    <w:rsid w:val="00914643"/>
    <w:rsid w:val="00914B78"/>
    <w:rsid w:val="009154CF"/>
    <w:rsid w:val="00920335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BF4"/>
    <w:rsid w:val="00925EB3"/>
    <w:rsid w:val="00926B9A"/>
    <w:rsid w:val="00926D7B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7834"/>
    <w:rsid w:val="00AE7975"/>
    <w:rsid w:val="00AF0B7B"/>
    <w:rsid w:val="00AF0F12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361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68E"/>
    <w:rsid w:val="00B66089"/>
    <w:rsid w:val="00B6672C"/>
    <w:rsid w:val="00B667FF"/>
    <w:rsid w:val="00B67781"/>
    <w:rsid w:val="00B67B9D"/>
    <w:rsid w:val="00B70B23"/>
    <w:rsid w:val="00B71163"/>
    <w:rsid w:val="00B728F8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7029F"/>
    <w:rsid w:val="00C71155"/>
    <w:rsid w:val="00C7196A"/>
    <w:rsid w:val="00C71996"/>
    <w:rsid w:val="00C719EC"/>
    <w:rsid w:val="00C71C09"/>
    <w:rsid w:val="00C731C1"/>
    <w:rsid w:val="00C7446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722D"/>
    <w:rsid w:val="00C87A0D"/>
    <w:rsid w:val="00C87C81"/>
    <w:rsid w:val="00C9009F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FD"/>
    <w:rsid w:val="00DF699C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D03"/>
    <w:rsid w:val="00E44CBA"/>
    <w:rsid w:val="00E45430"/>
    <w:rsid w:val="00E45DA2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0ECD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AA23-6D21-474D-BA19-7C8C761E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7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46</cp:revision>
  <cp:lastPrinted>2019-06-11T06:06:00Z</cp:lastPrinted>
  <dcterms:created xsi:type="dcterms:W3CDTF">2018-06-09T01:11:00Z</dcterms:created>
  <dcterms:modified xsi:type="dcterms:W3CDTF">2019-06-11T06:21:00Z</dcterms:modified>
</cp:coreProperties>
</file>