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2"/>
      </w:tblGrid>
      <w:tr w:rsidR="00655EE9" w:rsidRPr="00655EE9" w:rsidTr="00933229">
        <w:trPr>
          <w:trHeight w:val="1436"/>
        </w:trPr>
        <w:tc>
          <w:tcPr>
            <w:tcW w:w="9822" w:type="dxa"/>
            <w:tcBorders>
              <w:top w:val="nil"/>
              <w:bottom w:val="nil"/>
            </w:tcBorders>
            <w:shd w:val="clear" w:color="auto" w:fill="auto"/>
          </w:tcPr>
          <w:p w:rsidR="00655EE9" w:rsidRPr="00655EE9" w:rsidRDefault="009C10EB" w:rsidP="009C10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2018 год и плановый период 2019 и 2020 годов, утвержденный решением Думы Лесозаводского городского округа от 21.12.2017 №675-НПА»</w:t>
            </w:r>
          </w:p>
          <w:p w:rsidR="00655EE9" w:rsidRPr="00655EE9" w:rsidRDefault="00655EE9" w:rsidP="00655E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822486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  <w:bookmarkStart w:id="0" w:name="_GoBack"/>
            <w:bookmarkEnd w:id="0"/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                                                      г. Лесозаводск                                           № 25</w:t>
            </w:r>
          </w:p>
          <w:p w:rsid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2018 год и плановый период 2019 и 2020 годов, утвержденный решением Думы Лесозаводского городского округа от 21.12.2017 №675-НПА» 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Проект решения «О внесении изменений в бюджет Лесозаводского городского округа на 2018 год и плановый период 2019 и 2020 годов, утвержденный решением Думы Лесозаводского городского округа от 21.12.2017 №675-НПА»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10.12.2018.</w:t>
            </w:r>
          </w:p>
          <w:p w:rsidR="00655EE9" w:rsidRPr="00655EE9" w:rsidRDefault="00655EE9" w:rsidP="00655EE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655EE9" w:rsidRPr="00655EE9" w:rsidRDefault="00655EE9" w:rsidP="00AF1B3C">
            <w:pPr>
              <w:ind w:firstLine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бюджет Лесозаводского городского округа на 2018 год и на плановый период 2019 и 2020 годов</w:t>
            </w:r>
            <w:r w:rsidRPr="00655E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решением Думы Лесозаводского городского округа от 21.12.2017 №675-НПА,  вносятся пятый раз. </w:t>
            </w:r>
          </w:p>
          <w:p w:rsidR="00655EE9" w:rsidRPr="00655EE9" w:rsidRDefault="00655EE9" w:rsidP="00655EE9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решения предусмотрено изменение основных характеристик бюджета Лесозаводского городского округа на 2018 год, уточненные решением Думы Лесозаводского городского округа от 19.11.2018 №27-НПА.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плановый период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и 2020 годов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сумма доходов и расходов бюджета не изменяется.</w:t>
            </w: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    Общий анализ изменений основных характеристик бюджета</w:t>
            </w:r>
            <w:r w:rsidRPr="0065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на 2018 год представлен в таблице:      </w:t>
            </w:r>
          </w:p>
          <w:p w:rsidR="00655EE9" w:rsidRP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.)                                                                                                                                                                     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268"/>
              <w:gridCol w:w="1985"/>
              <w:gridCol w:w="1275"/>
              <w:gridCol w:w="1276"/>
              <w:gridCol w:w="1134"/>
            </w:tblGrid>
            <w:tr w:rsidR="00655EE9" w:rsidRPr="00655EE9" w:rsidTr="00933229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Утверждено решением Думы ЛГО от 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21.12.2017 №675-НПА</w:t>
                  </w:r>
                </w:p>
              </w:tc>
              <w:tc>
                <w:tcPr>
                  <w:tcW w:w="1985" w:type="dxa"/>
                  <w:vMerge w:val="restart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Утверждено решением Думы ЛГО от 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19.11.2019 №27-НПА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410" w:type="dxa"/>
                  <w:gridSpan w:val="2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Отклонения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сумма (гр.4-гр.3)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Темп роста %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728822,9</w:t>
                  </w:r>
                </w:p>
              </w:tc>
              <w:tc>
                <w:tcPr>
                  <w:tcW w:w="198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864603,48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890987,47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26384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103,1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750355,9</w:t>
                  </w:r>
                </w:p>
              </w:tc>
              <w:tc>
                <w:tcPr>
                  <w:tcW w:w="198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887227,41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913611,39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26384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103,0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Дефицит</w:t>
                  </w:r>
                </w:p>
              </w:tc>
              <w:tc>
                <w:tcPr>
                  <w:tcW w:w="2268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21533</w:t>
                  </w:r>
                </w:p>
              </w:tc>
              <w:tc>
                <w:tcPr>
                  <w:tcW w:w="198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22623,9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22623,9</w:t>
                  </w:r>
                </w:p>
              </w:tc>
              <w:tc>
                <w:tcPr>
                  <w:tcW w:w="1276" w:type="dxa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</w:tbl>
          <w:p w:rsidR="00655EE9" w:rsidRPr="00655EE9" w:rsidRDefault="00655EE9" w:rsidP="00655EE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Согласно проекту решения, изменяются следующие основные характеристики бюджета на 2018 год: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- доходы бюджета увеличиваются на 26384 тыс. руб. или на 3,1% и составляют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890987,47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тыс. руб.;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- расходы бюджета увеличиваются на 26384 тыс. руб. или на 3% и составляют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913611,39 </w:t>
            </w:r>
            <w:proofErr w:type="spell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</w:t>
            </w: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Проектом  решения вносятся также следующие изменения:</w:t>
            </w:r>
          </w:p>
          <w:p w:rsidR="00655EE9" w:rsidRPr="00655EE9" w:rsidRDefault="00655EE9" w:rsidP="00655EE9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- увеличивается объем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межбюджетных трансфертов, получаемых из вышестоящих бюджетов,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сумму 26383,98  (на  6,3%) и составляет 447800,47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.;</w:t>
            </w:r>
          </w:p>
          <w:p w:rsidR="00655EE9" w:rsidRPr="00655EE9" w:rsidRDefault="00655EE9" w:rsidP="00655EE9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- увеличивается объем бюджетных ассигнований дорожного фонда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2018 год на сумму 1898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(на 5,2%) и  составляет 38554,7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.;</w:t>
            </w:r>
          </w:p>
          <w:p w:rsidR="00655EE9" w:rsidRPr="00655EE9" w:rsidRDefault="00655EE9" w:rsidP="00655EE9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- уменьшается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предельный объем расходов на обслуживание муниципального внутреннего долга Лесозаводского городского округа на 2018 год на сумму 196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составляет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11544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Прогнозируемый </w:t>
            </w:r>
            <w:r w:rsidRPr="00655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дефицит бюджета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(22624 тыс. руб.), а также иные характеристики бюджета: </w:t>
            </w:r>
            <w:r w:rsidRPr="00655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предельный объем муниципального внутреннего долга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(216000 тыс. руб.), </w:t>
            </w:r>
            <w:r w:rsidRPr="00655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верхний предел муниципального внутреннего долга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 2019 года (139489 тыс. руб.), в том числе </w:t>
            </w:r>
            <w:r w:rsidRPr="00655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верхний предел долга по муниципальным гарантиям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(0,0 тыс. руб.) - остаются без изменений.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В результате уточнения доходной и расходной части бюджета, перераспределения бюджетных ассигнований между главными распорядителями бюджетных средств, изменений бюджетных назначений муниципальных программ, источников финансирования бюджета утверждены новые редакции 7 приложений.</w:t>
            </w:r>
            <w:r w:rsidRPr="00655E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655EE9" w:rsidRPr="00655EE9" w:rsidRDefault="00655EE9" w:rsidP="00655EE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доходную часть бюджета</w:t>
            </w:r>
            <w:r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   На 2018 год проектом решения предлагается увеличить доходы бюджета на сумму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26384 тыс. руб. или на 3,1% </w:t>
            </w:r>
            <w:r w:rsidR="00AF1B3C" w:rsidRPr="00AF1B3C">
              <w:rPr>
                <w:rFonts w:ascii="Times New Roman" w:hAnsi="Times New Roman" w:cs="Times New Roman"/>
                <w:sz w:val="24"/>
                <w:szCs w:val="24"/>
              </w:rPr>
              <w:t xml:space="preserve">к назначениям, утвержденным решением Думы </w:t>
            </w:r>
            <w:r w:rsidR="00AF1B3C" w:rsidRPr="00AF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19.11.2018 №27-НПА,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увеличением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безвозмездных поступлений от других бюджетов бюджетной системы РФ на сумму 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26383,98 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 руб.,</w:t>
            </w: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  <w:r w:rsidRPr="0065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увеличением налоговых доходов</w:t>
            </w: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 сумму 323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.,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 уменьшением неналоговых доходов на  сумму 323 тыс. руб.</w:t>
            </w:r>
          </w:p>
          <w:p w:rsidR="00655EE9" w:rsidRP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Анализ вносимых изменений по доходам бюджета Лесозаводского городского округа на 2018 год:   </w:t>
            </w:r>
          </w:p>
          <w:p w:rsidR="00655EE9" w:rsidRPr="00655EE9" w:rsidRDefault="00655EE9" w:rsidP="00655E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tbl>
            <w:tblPr>
              <w:tblW w:w="964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5"/>
              <w:gridCol w:w="2249"/>
              <w:gridCol w:w="1134"/>
              <w:gridCol w:w="1276"/>
              <w:gridCol w:w="1275"/>
            </w:tblGrid>
            <w:tr w:rsidR="00655EE9" w:rsidRPr="00655EE9" w:rsidTr="00933229">
              <w:trPr>
                <w:tblCellSpacing w:w="0" w:type="dxa"/>
              </w:trPr>
              <w:tc>
                <w:tcPr>
                  <w:tcW w:w="3715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249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Уточненный бюджет на 2018 год (от 19.11.2018 №27-НПА)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Изменение 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3715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9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%</w:t>
                  </w:r>
                </w:p>
              </w:tc>
            </w:tr>
            <w:tr w:rsidR="00655EE9" w:rsidRPr="00655EE9" w:rsidTr="00933229">
              <w:trPr>
                <w:trHeight w:val="314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ДОХОДЫ, всего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864603,49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890987,47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26383,98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103,1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Налоговые и неналоговые доходы, в </w:t>
                  </w:r>
                  <w:proofErr w:type="spellStart"/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.: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443187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443187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655EE9" w:rsidRPr="00655EE9" w:rsidTr="00933229">
              <w:trPr>
                <w:trHeight w:val="292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Налоговые доходы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из них: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396244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396567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100,1</w:t>
                  </w:r>
                </w:p>
              </w:tc>
            </w:tr>
            <w:tr w:rsidR="00655EE9" w:rsidRPr="00655EE9" w:rsidTr="00933229">
              <w:trPr>
                <w:trHeight w:val="285"/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5617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5940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105,8</w:t>
                  </w:r>
                </w:p>
              </w:tc>
            </w:tr>
            <w:tr w:rsidR="00655EE9" w:rsidRPr="00655EE9" w:rsidTr="00933229">
              <w:trPr>
                <w:trHeight w:val="391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Неналоговые доходы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из них: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46943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46620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-323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99,3</w:t>
                  </w:r>
                </w:p>
              </w:tc>
            </w:tr>
            <w:tr w:rsidR="00655EE9" w:rsidRPr="00655EE9" w:rsidTr="00933229">
              <w:trPr>
                <w:trHeight w:val="256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655EE9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eastAsia="ru-RU"/>
                    </w:rPr>
                    <w:t>доходы</w:t>
                  </w: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655EE9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от сдачи в аренду имущества, составляющего казну городских округов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5232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6624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1392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126,6</w:t>
                  </w:r>
                </w:p>
              </w:tc>
            </w:tr>
            <w:tr w:rsidR="00655EE9" w:rsidRPr="00655EE9" w:rsidTr="00933229">
              <w:trPr>
                <w:trHeight w:val="256"/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0"/>
                      <w:szCs w:val="20"/>
                      <w:lang w:eastAsia="ar-SA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3285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-1715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65,7</w:t>
                  </w:r>
                </w:p>
              </w:tc>
            </w:tr>
            <w:tr w:rsidR="00655EE9" w:rsidRPr="00655EE9" w:rsidTr="00933229">
              <w:trPr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2249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421416,9</w:t>
                  </w:r>
                </w:p>
              </w:tc>
              <w:tc>
                <w:tcPr>
                  <w:tcW w:w="1134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447800,47</w:t>
                  </w:r>
                </w:p>
              </w:tc>
              <w:tc>
                <w:tcPr>
                  <w:tcW w:w="1276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26383,57</w:t>
                  </w:r>
                </w:p>
              </w:tc>
              <w:tc>
                <w:tcPr>
                  <w:tcW w:w="1275" w:type="dxa"/>
                  <w:vAlign w:val="center"/>
                </w:tcPr>
                <w:p w:rsidR="00655EE9" w:rsidRPr="00655EE9" w:rsidRDefault="00655EE9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106,3</w:t>
                  </w:r>
                </w:p>
              </w:tc>
            </w:tr>
          </w:tbl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Налоговые</w:t>
            </w:r>
            <w:r w:rsidRPr="00655E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доходы</w:t>
            </w:r>
            <w:r w:rsidRPr="00655E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на 2018 год проектом решения увеличиваются на сумму </w:t>
            </w:r>
            <w:r w:rsidRPr="00655E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323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 руб. или на 0,1% от назначений, утвержденных бюджетом,  счет увеличения поступлений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55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государственной пошлины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655E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323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или на 5,8% (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план составит 5940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.).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пояснительной записке основанием для увеличения плана являются фактические поступления доходов.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         </w:t>
            </w:r>
            <w:r w:rsidRPr="00655EE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Н</w:t>
            </w:r>
            <w:r w:rsidRPr="00655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еналоговые доходы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2018 год по сравнению с утвержденными назначениями корректируются в сторону уменьшения  на сумму </w:t>
            </w:r>
            <w:r w:rsidRPr="00655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323 </w:t>
            </w:r>
            <w:proofErr w:type="spellStart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или на 0,7%, в том числе: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план по </w:t>
            </w:r>
            <w:r w:rsidRPr="00655EE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доходам</w:t>
            </w:r>
            <w:r w:rsidRPr="00655EE9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 сдачи в аренду имущества </w:t>
            </w:r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увеличивается на</w:t>
            </w:r>
            <w:r w:rsidRPr="00655E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1392</w:t>
            </w:r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и составит 6624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тыс.руб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Основание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 плана - фактические поступления доходов. Фактические поступления </w:t>
            </w:r>
            <w:r w:rsidRPr="00655EE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доходов</w:t>
            </w:r>
            <w:r w:rsidRPr="00655EE9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 сдачи в аренду имущества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01.12.2018 составляют 6551,8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или 125,2% от утвержденного плана (5232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план по </w:t>
            </w: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доходам от продажи земельных участков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уменьшается на</w:t>
            </w:r>
            <w:r w:rsidRPr="00655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1715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составит 3285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Согласно пояснительной записке в связи с не поступлением заявок на выкуп</w:t>
            </w:r>
            <w:r w:rsidRPr="00655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55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655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ind w:firstLine="743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Б</w:t>
            </w:r>
            <w:r w:rsidRPr="00655EE9">
              <w:rPr>
                <w:rFonts w:ascii="Times New Roman" w:hAnsi="Times New Roman" w:cs="Times New Roman"/>
                <w:b/>
                <w:sz w:val="24"/>
                <w:szCs w:val="24"/>
              </w:rPr>
              <w:t>езвозмездные поступления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из краевого бюджета на 2018 год увеличиваются на сумму </w:t>
            </w:r>
            <w:r w:rsidRPr="00655EE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26383,98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тыс. руб. или на  6,3% , в том числе: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</w:t>
            </w:r>
          </w:p>
          <w:p w:rsidR="00655EE9" w:rsidRPr="00655EE9" w:rsidRDefault="00655EE9" w:rsidP="00655EE9">
            <w:pPr>
              <w:ind w:firstLine="539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19150 </w:t>
            </w:r>
            <w:proofErr w:type="spell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– увеличены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иные меры по обеспечению сбалансированности бюджетов муниципальных образований.</w:t>
            </w:r>
            <w:r w:rsidRPr="00655EE9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дотации по результатам предлагаемого изменения составит сумму 31997 тыс. руб.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655EE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5EE9" w:rsidRPr="00655EE9" w:rsidRDefault="00655EE9" w:rsidP="00655EE9">
            <w:pPr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1898 </w:t>
            </w:r>
            <w:proofErr w:type="spell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 - распределены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иные межбюджетные трансферты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дорожной деятельности;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698,74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увеличены субсидии на содержание многофункциональных центров предоставления государственных и муниципальных услуг на 2018 год.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Общий объем субсидии по результатам предлагаемого изменения составит сумму 7234 тыс. руб.;</w:t>
            </w:r>
          </w:p>
          <w:p w:rsidR="00655EE9" w:rsidRPr="00655EE9" w:rsidRDefault="00655EE9" w:rsidP="00655EE9">
            <w:pPr>
              <w:ind w:firstLine="539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625,74 </w:t>
            </w:r>
            <w:proofErr w:type="spell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– распределены субвенции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на 2018 год;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2440 </w:t>
            </w:r>
            <w:proofErr w:type="spell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– увеличены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 Приморского края.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субвенции по результатам предлагаемого изменения составит сумму 180958 тыс. руб.;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2529,3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-</w:t>
            </w:r>
            <w:r w:rsidRPr="0065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распределены субвенции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края, на 2018 год;</w:t>
            </w:r>
          </w:p>
          <w:p w:rsidR="00655EE9" w:rsidRPr="00655EE9" w:rsidRDefault="00655EE9" w:rsidP="00655EE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(-)957,8 </w:t>
            </w:r>
            <w:proofErr w:type="spellStart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. – уменьшены субвенции</w:t>
            </w: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осуществление полномочий Российской Федерации по государственной регистрации актов гражданского состояния на 2018 год.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субвенции по результатам предлагаемого изменения составит сумму 2718,2 тыс. руб.</w:t>
            </w:r>
          </w:p>
          <w:p w:rsidR="00655EE9" w:rsidRPr="00655EE9" w:rsidRDefault="00655EE9" w:rsidP="00655EE9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EE9" w:rsidRPr="00655EE9" w:rsidRDefault="00655EE9" w:rsidP="00655EE9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расходную часть</w:t>
            </w:r>
            <w:r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 </w:t>
            </w:r>
          </w:p>
          <w:p w:rsidR="00655EE9" w:rsidRPr="00655EE9" w:rsidRDefault="00655EE9" w:rsidP="00655EE9">
            <w:pPr>
              <w:ind w:left="720"/>
              <w:contextualSpacing/>
              <w:jc w:val="left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534632" w:rsidRDefault="00655EE9" w:rsidP="00843335">
            <w:pPr>
              <w:ind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проекту решения расходы бюджета на 2018 год составляют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913611,39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  <w:r w:rsidR="00AF1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3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1B3C">
              <w:rPr>
                <w:rFonts w:ascii="Times New Roman" w:hAnsi="Times New Roman"/>
                <w:sz w:val="24"/>
                <w:szCs w:val="24"/>
              </w:rPr>
              <w:t>О</w:t>
            </w:r>
            <w:r w:rsidR="00AF1B3C" w:rsidRPr="00843335">
              <w:rPr>
                <w:rFonts w:ascii="Times New Roman" w:hAnsi="Times New Roman"/>
                <w:sz w:val="24"/>
                <w:szCs w:val="24"/>
              </w:rPr>
              <w:t xml:space="preserve">бъем бюджетных ассигнований </w:t>
            </w:r>
            <w:r w:rsidR="00AF1B3C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увеличивается</w:t>
            </w:r>
            <w:r w:rsidR="00AF1B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F1B3C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сумму </w:t>
            </w:r>
            <w:r w:rsidR="00AF1B3C" w:rsidRPr="00655EE9">
              <w:rPr>
                <w:rFonts w:ascii="Times New Roman" w:hAnsi="Times New Roman" w:cs="Times New Roman"/>
                <w:b/>
                <w:sz w:val="24"/>
                <w:szCs w:val="24"/>
              </w:rPr>
              <w:t>26383,98</w:t>
            </w:r>
            <w:r w:rsidR="00AF1B3C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B3C" w:rsidRPr="00655EE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F1B3C" w:rsidRPr="00655E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F1B3C" w:rsidRPr="00655EE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AF1B3C" w:rsidRPr="0065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B3C">
              <w:rPr>
                <w:rFonts w:ascii="Times New Roman" w:hAnsi="Times New Roman" w:cs="Times New Roman"/>
                <w:sz w:val="24"/>
                <w:szCs w:val="24"/>
              </w:rPr>
              <w:t xml:space="preserve"> или на 3% </w:t>
            </w:r>
            <w:r w:rsidR="00AF1B3C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655EE9">
              <w:rPr>
                <w:rFonts w:ascii="Times New Roman" w:eastAsia="Times New Roman" w:hAnsi="Times New Roman"/>
                <w:sz w:val="24"/>
                <w:szCs w:val="24"/>
              </w:rPr>
              <w:t xml:space="preserve">а счет </w:t>
            </w:r>
            <w:r w:rsidR="00AF1B3C">
              <w:rPr>
                <w:rFonts w:ascii="Times New Roman" w:eastAsia="Times New Roman" w:hAnsi="Times New Roman"/>
                <w:sz w:val="24"/>
                <w:szCs w:val="24"/>
              </w:rPr>
              <w:t xml:space="preserve">выделения </w:t>
            </w:r>
            <w:r w:rsidRPr="00655EE9">
              <w:rPr>
                <w:rFonts w:ascii="Times New Roman" w:eastAsia="Times New Roman" w:hAnsi="Times New Roman"/>
                <w:sz w:val="24"/>
                <w:szCs w:val="24"/>
              </w:rPr>
              <w:t>безвозмездных поступлений</w:t>
            </w:r>
            <w:r w:rsidR="00534632">
              <w:rPr>
                <w:rFonts w:ascii="Times New Roman" w:eastAsia="Times New Roman" w:hAnsi="Times New Roman"/>
                <w:sz w:val="24"/>
                <w:szCs w:val="24"/>
              </w:rPr>
              <w:t xml:space="preserve"> из краевого бюджета</w:t>
            </w:r>
            <w:r w:rsidR="00843335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335" w:rsidRPr="00843335">
              <w:rPr>
                <w:rFonts w:ascii="Times New Roman" w:hAnsi="Times New Roman"/>
                <w:sz w:val="24"/>
                <w:szCs w:val="24"/>
              </w:rPr>
              <w:t>на соответствующие целевые расходы</w:t>
            </w:r>
            <w:r w:rsidR="002577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5EE9" w:rsidRDefault="00655EE9" w:rsidP="00DA7D49">
            <w:pPr>
              <w:ind w:firstLine="31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4632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53463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проектом решения производится перераспределение бюджетных ассигнований между отдельными разделами, подразделами, целевыми статьями и видами расходов в пределах общего объема расходов, утвержденных решением о бюджете</w:t>
            </w:r>
            <w:r w:rsidR="0025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0039" w:rsidRPr="009F1F9D" w:rsidRDefault="00810039" w:rsidP="00810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вносимых изменений в бюджетные ассигнования 2018 года </w:t>
            </w:r>
            <w:r w:rsidRPr="009F1F9D">
              <w:rPr>
                <w:rFonts w:ascii="Times New Roman" w:hAnsi="Times New Roman" w:cs="Times New Roman"/>
                <w:sz w:val="24"/>
                <w:szCs w:val="24"/>
              </w:rPr>
              <w:t xml:space="preserve">по главным распорядителям бюджетных средств (ГРБС)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 в таблице:</w:t>
            </w:r>
          </w:p>
          <w:p w:rsidR="00810039" w:rsidRPr="00D738A7" w:rsidRDefault="00810039" w:rsidP="00810039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27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275"/>
              <w:gridCol w:w="1480"/>
              <w:gridCol w:w="1134"/>
              <w:gridCol w:w="1134"/>
            </w:tblGrid>
            <w:tr w:rsidR="00810039" w:rsidRPr="00D738A7" w:rsidTr="000773F3">
              <w:trPr>
                <w:trHeight w:val="313"/>
              </w:trPr>
              <w:tc>
                <w:tcPr>
                  <w:tcW w:w="4253" w:type="dxa"/>
                  <w:vMerge w:val="restart"/>
                </w:tcPr>
                <w:p w:rsidR="00810039" w:rsidRPr="00D738A7" w:rsidRDefault="00810039" w:rsidP="000773F3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810039" w:rsidRPr="00D738A7" w:rsidRDefault="00810039" w:rsidP="000773F3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ГРБС</w:t>
                  </w:r>
                </w:p>
              </w:tc>
              <w:tc>
                <w:tcPr>
                  <w:tcW w:w="1275" w:type="dxa"/>
                  <w:vMerge w:val="restart"/>
                </w:tcPr>
                <w:p w:rsidR="00810039" w:rsidRPr="00655EE9" w:rsidRDefault="00810039" w:rsidP="000773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2018 год</w:t>
                  </w:r>
                </w:p>
              </w:tc>
              <w:tc>
                <w:tcPr>
                  <w:tcW w:w="1480" w:type="dxa"/>
                  <w:vMerge w:val="restart"/>
                </w:tcPr>
                <w:p w:rsidR="00810039" w:rsidRPr="00655EE9" w:rsidRDefault="00810039" w:rsidP="000773F3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810039" w:rsidRPr="00655EE9" w:rsidRDefault="00810039" w:rsidP="000773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810039" w:rsidRPr="00655EE9" w:rsidRDefault="00810039" w:rsidP="000773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810039" w:rsidRPr="00D738A7" w:rsidTr="000773F3">
              <w:trPr>
                <w:trHeight w:val="343"/>
              </w:trPr>
              <w:tc>
                <w:tcPr>
                  <w:tcW w:w="4253" w:type="dxa"/>
                  <w:vMerge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0" w:type="dxa"/>
                  <w:vMerge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55EE9" w:rsidRDefault="00810039" w:rsidP="000773F3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РАСХОДЫ</w:t>
                  </w: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всего, в том числе: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655EE9" w:rsidRDefault="00810039" w:rsidP="000773F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887227,41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534632" w:rsidRDefault="00810039" w:rsidP="000773F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913 611,39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534632" w:rsidRDefault="00810039" w:rsidP="000773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26 383,98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534632" w:rsidRDefault="00810039" w:rsidP="000773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103,0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Администрация Лесозаводского городского </w:t>
                  </w: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округа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196683,28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198839,88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2156,6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101,1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МКУ «Управление образования Лесозаводского городского округа»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535617,63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560975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25357,37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104,7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имущественных отношений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12301,59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12601,59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102,4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25010,5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23510,5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-1500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94,0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молодежной политики  и спорта ЛГО»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92557,92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92557,92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Финансовое управление 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17606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17606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Дума Лесозаводского городского округа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5123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5123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810039" w:rsidRPr="00D738A7" w:rsidTr="000773F3">
              <w:tc>
                <w:tcPr>
                  <w:tcW w:w="4253" w:type="dxa"/>
                </w:tcPr>
                <w:p w:rsidR="00810039" w:rsidRPr="00D738A7" w:rsidRDefault="00810039" w:rsidP="000773F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38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Контрольно-счетная палата </w:t>
                  </w:r>
                </w:p>
              </w:tc>
              <w:tc>
                <w:tcPr>
                  <w:tcW w:w="1275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2307,5</w:t>
                  </w:r>
                </w:p>
              </w:tc>
              <w:tc>
                <w:tcPr>
                  <w:tcW w:w="1480" w:type="dxa"/>
                  <w:vAlign w:val="center"/>
                </w:tcPr>
                <w:p w:rsidR="00810039" w:rsidRPr="00D738A7" w:rsidRDefault="00810039" w:rsidP="000773F3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2377,5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039" w:rsidRPr="006716D4" w:rsidRDefault="00810039" w:rsidP="000773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716D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103,0</w:t>
                  </w:r>
                </w:p>
              </w:tc>
            </w:tr>
          </w:tbl>
          <w:p w:rsidR="00810039" w:rsidRDefault="00810039" w:rsidP="00DA7D49">
            <w:pPr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562" w:rsidRPr="00655EE9" w:rsidRDefault="00691562" w:rsidP="006915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Анализ вносимых изменений в бюджетные ассигнования 2018 года по  разделам бюджетной классификации расходов представлен в таблице:</w:t>
            </w:r>
            <w:r w:rsidRPr="00655EE9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  <w:p w:rsidR="00691562" w:rsidRPr="00655EE9" w:rsidRDefault="00691562" w:rsidP="00691562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(</w:t>
            </w:r>
            <w:proofErr w:type="spellStart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                                                                                                          </w:t>
            </w:r>
          </w:p>
          <w:tbl>
            <w:tblPr>
              <w:tblW w:w="9733" w:type="dxa"/>
              <w:jc w:val="center"/>
              <w:tblInd w:w="1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5"/>
              <w:gridCol w:w="3207"/>
              <w:gridCol w:w="1913"/>
              <w:gridCol w:w="1774"/>
              <w:gridCol w:w="1227"/>
              <w:gridCol w:w="947"/>
            </w:tblGrid>
            <w:tr w:rsidR="00933229" w:rsidRPr="00655EE9" w:rsidTr="002A1D97">
              <w:trPr>
                <w:trHeight w:val="211"/>
                <w:jc w:val="center"/>
              </w:trPr>
              <w:tc>
                <w:tcPr>
                  <w:tcW w:w="665" w:type="dxa"/>
                  <w:vMerge w:val="restart"/>
                  <w:shd w:val="clear" w:color="auto" w:fill="auto"/>
                </w:tcPr>
                <w:p w:rsidR="00933229" w:rsidRPr="00655EE9" w:rsidRDefault="00933229" w:rsidP="00933229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7" w:type="dxa"/>
                  <w:vMerge w:val="restart"/>
                  <w:vAlign w:val="center"/>
                  <w:hideMark/>
                </w:tcPr>
                <w:p w:rsidR="00933229" w:rsidRPr="00655EE9" w:rsidRDefault="00933229" w:rsidP="00933229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раздела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, подраздела</w:t>
                  </w:r>
                </w:p>
              </w:tc>
              <w:tc>
                <w:tcPr>
                  <w:tcW w:w="1913" w:type="dxa"/>
                  <w:vMerge w:val="restart"/>
                  <w:hideMark/>
                </w:tcPr>
                <w:p w:rsidR="00933229" w:rsidRPr="00655EE9" w:rsidRDefault="00933229" w:rsidP="009332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2018 год</w:t>
                  </w:r>
                </w:p>
              </w:tc>
              <w:tc>
                <w:tcPr>
                  <w:tcW w:w="1774" w:type="dxa"/>
                  <w:vMerge w:val="restart"/>
                  <w:hideMark/>
                </w:tcPr>
                <w:p w:rsidR="00933229" w:rsidRPr="00655EE9" w:rsidRDefault="00933229" w:rsidP="00933229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933229" w:rsidRPr="00655EE9" w:rsidRDefault="00933229" w:rsidP="009332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4" w:type="dxa"/>
                  <w:gridSpan w:val="2"/>
                </w:tcPr>
                <w:p w:rsidR="00933229" w:rsidRPr="00655EE9" w:rsidRDefault="00933229" w:rsidP="009332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933229" w:rsidRPr="00655EE9" w:rsidTr="002A1D97">
              <w:trPr>
                <w:trHeight w:val="243"/>
                <w:jc w:val="center"/>
              </w:trPr>
              <w:tc>
                <w:tcPr>
                  <w:tcW w:w="665" w:type="dxa"/>
                  <w:vMerge/>
                  <w:shd w:val="clear" w:color="auto" w:fill="auto"/>
                </w:tcPr>
                <w:p w:rsidR="00933229" w:rsidRPr="00655EE9" w:rsidRDefault="00933229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7" w:type="dxa"/>
                  <w:vMerge/>
                  <w:vAlign w:val="center"/>
                  <w:hideMark/>
                </w:tcPr>
                <w:p w:rsidR="00933229" w:rsidRPr="00655EE9" w:rsidRDefault="00933229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3" w:type="dxa"/>
                  <w:vMerge/>
                  <w:vAlign w:val="center"/>
                  <w:hideMark/>
                </w:tcPr>
                <w:p w:rsidR="00933229" w:rsidRPr="00655EE9" w:rsidRDefault="00933229" w:rsidP="00933229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hideMark/>
                </w:tcPr>
                <w:p w:rsidR="00933229" w:rsidRPr="00655EE9" w:rsidRDefault="00933229" w:rsidP="009332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7" w:type="dxa"/>
                  <w:hideMark/>
                </w:tcPr>
                <w:p w:rsidR="00933229" w:rsidRPr="00655EE9" w:rsidRDefault="00933229" w:rsidP="0093322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947" w:type="dxa"/>
                  <w:vAlign w:val="center"/>
                  <w:hideMark/>
                </w:tcPr>
                <w:p w:rsidR="00933229" w:rsidRPr="00655EE9" w:rsidRDefault="00933229" w:rsidP="00933229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534632" w:rsidRPr="00655EE9" w:rsidTr="00534632">
              <w:trPr>
                <w:trHeight w:val="309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77E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0100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106939,38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106 863,98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-75,40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99,9</w:t>
                  </w:r>
                </w:p>
              </w:tc>
            </w:tr>
            <w:tr w:rsidR="00534632" w:rsidRPr="00655EE9" w:rsidTr="00534632">
              <w:trPr>
                <w:trHeight w:val="309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3207" w:type="dxa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277E60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277E60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36408,7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277E60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37 308,70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102,5</w:t>
                  </w:r>
                </w:p>
              </w:tc>
            </w:tr>
            <w:tr w:rsidR="00534632" w:rsidRPr="00655EE9" w:rsidTr="00534632">
              <w:trPr>
                <w:trHeight w:val="309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0106</w:t>
                  </w:r>
                </w:p>
              </w:tc>
              <w:tc>
                <w:tcPr>
                  <w:tcW w:w="3207" w:type="dxa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277E60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7813,87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277E60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8 079,87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266,00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103,4</w:t>
                  </w:r>
                </w:p>
              </w:tc>
            </w:tr>
            <w:tr w:rsidR="00534632" w:rsidRPr="00655EE9" w:rsidTr="00534632">
              <w:trPr>
                <w:trHeight w:val="309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0107</w:t>
                  </w:r>
                </w:p>
              </w:tc>
              <w:tc>
                <w:tcPr>
                  <w:tcW w:w="3207" w:type="dxa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2650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277E60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2 417,66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-232,34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91,2</w:t>
                  </w:r>
                </w:p>
              </w:tc>
            </w:tr>
            <w:tr w:rsidR="00534632" w:rsidRPr="00655EE9" w:rsidTr="00534632">
              <w:trPr>
                <w:trHeight w:val="309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3207" w:type="dxa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277E60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277E60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54203,12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277E60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277E60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53 194,05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-1 009,07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98,1</w:t>
                  </w:r>
                </w:p>
              </w:tc>
            </w:tr>
            <w:tr w:rsidR="00534632" w:rsidRPr="00655EE9" w:rsidTr="00534632">
              <w:trPr>
                <w:trHeight w:val="288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7E6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0200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274,00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274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534632" w:rsidRPr="00655EE9" w:rsidTr="00534632">
              <w:trPr>
                <w:trHeight w:val="393"/>
                <w:jc w:val="center"/>
              </w:trPr>
              <w:tc>
                <w:tcPr>
                  <w:tcW w:w="6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77E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815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815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534632" w:rsidRPr="00655EE9" w:rsidTr="00534632">
              <w:trPr>
                <w:trHeight w:val="219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77E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0400</w:t>
                  </w:r>
                </w:p>
              </w:tc>
              <w:tc>
                <w:tcPr>
                  <w:tcW w:w="3207" w:type="dxa"/>
                  <w:tcBorders>
                    <w:left w:val="single" w:sz="4" w:space="0" w:color="auto"/>
                  </w:tcBorders>
                  <w:hideMark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38795,73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40 693,73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1 898,00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104,9</w:t>
                  </w:r>
                </w:p>
              </w:tc>
            </w:tr>
            <w:tr w:rsidR="00534632" w:rsidRPr="00655EE9" w:rsidTr="00534632">
              <w:trPr>
                <w:trHeight w:val="219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34632" w:rsidRPr="002A1D97" w:rsidRDefault="00534632" w:rsidP="002A1D97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3207" w:type="dxa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36656,72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38 554,72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1 898,00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105,2</w:t>
                  </w:r>
                </w:p>
              </w:tc>
            </w:tr>
            <w:tr w:rsidR="00534632" w:rsidRPr="00655EE9" w:rsidTr="00534632">
              <w:trPr>
                <w:trHeight w:val="183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77E60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77E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0500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76484,55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77 986,17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1 501,62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102,0</w:t>
                  </w:r>
                </w:p>
              </w:tc>
            </w:tr>
            <w:tr w:rsidR="00534632" w:rsidRPr="00655EE9" w:rsidTr="00534632">
              <w:trPr>
                <w:trHeight w:val="183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3207" w:type="dxa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25382,93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26 784,54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1 401,61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105,5</w:t>
                  </w:r>
                </w:p>
              </w:tc>
            </w:tr>
            <w:tr w:rsidR="00534632" w:rsidRPr="00655EE9" w:rsidTr="00534632">
              <w:trPr>
                <w:trHeight w:val="183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3207" w:type="dxa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23581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24 081,09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500,09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102,1</w:t>
                  </w:r>
                </w:p>
              </w:tc>
            </w:tr>
            <w:tr w:rsidR="00534632" w:rsidRPr="00655EE9" w:rsidTr="00534632">
              <w:trPr>
                <w:trHeight w:val="183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3207" w:type="dxa"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28318,94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27 118,94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-1 200,00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95,8</w:t>
                  </w:r>
                </w:p>
              </w:tc>
            </w:tr>
            <w:tr w:rsidR="00534632" w:rsidRPr="00655EE9" w:rsidTr="00534632">
              <w:trPr>
                <w:trHeight w:val="215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206C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0700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550606,86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576 364,23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25 757,37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104,7</w:t>
                  </w:r>
                </w:p>
              </w:tc>
            </w:tr>
            <w:tr w:rsidR="00534632" w:rsidRPr="00655EE9" w:rsidTr="00534632">
              <w:trPr>
                <w:trHeight w:val="215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0701</w:t>
                  </w:r>
                </w:p>
              </w:tc>
              <w:tc>
                <w:tcPr>
                  <w:tcW w:w="3207" w:type="dxa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A1D97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189543,71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197 543,71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8 000,00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104,2</w:t>
                  </w:r>
                </w:p>
              </w:tc>
            </w:tr>
            <w:tr w:rsidR="00534632" w:rsidRPr="00655EE9" w:rsidTr="00534632">
              <w:trPr>
                <w:trHeight w:val="215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0702</w:t>
                  </w:r>
                </w:p>
              </w:tc>
              <w:tc>
                <w:tcPr>
                  <w:tcW w:w="3207" w:type="dxa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A1D97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273918,12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284 555,20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10 637,08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103,9</w:t>
                  </w:r>
                </w:p>
              </w:tc>
            </w:tr>
            <w:tr w:rsidR="00534632" w:rsidRPr="00655EE9" w:rsidTr="00534632">
              <w:trPr>
                <w:trHeight w:val="215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0703</w:t>
                  </w:r>
                </w:p>
              </w:tc>
              <w:tc>
                <w:tcPr>
                  <w:tcW w:w="3207" w:type="dxa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A1D97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53518,86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55 659,23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2 140,37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104,0</w:t>
                  </w:r>
                </w:p>
              </w:tc>
            </w:tr>
            <w:tr w:rsidR="00534632" w:rsidRPr="00655EE9" w:rsidTr="00534632">
              <w:trPr>
                <w:trHeight w:val="215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0709</w:t>
                  </w:r>
                </w:p>
              </w:tc>
              <w:tc>
                <w:tcPr>
                  <w:tcW w:w="3207" w:type="dxa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A1D97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27300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DA41CE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32 279,93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4 979,93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118,2</w:t>
                  </w:r>
                </w:p>
              </w:tc>
            </w:tr>
            <w:tr w:rsidR="00534632" w:rsidRPr="00655EE9" w:rsidTr="00534632">
              <w:trPr>
                <w:trHeight w:val="285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206C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0800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54991,69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206C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206C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56 486,47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1 494,78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102,7</w:t>
                  </w:r>
                </w:p>
              </w:tc>
            </w:tr>
            <w:tr w:rsidR="00534632" w:rsidRPr="00655EE9" w:rsidTr="00534632">
              <w:trPr>
                <w:trHeight w:val="285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0801</w:t>
                  </w:r>
                </w:p>
              </w:tc>
              <w:tc>
                <w:tcPr>
                  <w:tcW w:w="3207" w:type="dxa"/>
                </w:tcPr>
                <w:p w:rsidR="00534632" w:rsidRPr="002A1D97" w:rsidRDefault="00534632" w:rsidP="00933229">
                  <w:pPr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A1D97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DA41CE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41747,78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DA41CE" w:rsidRDefault="00534632" w:rsidP="00534632">
                  <w:pPr>
                    <w:spacing w:line="276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</w:pPr>
                  <w:r w:rsidRPr="00DA41CE">
                    <w:rPr>
                      <w:rFonts w:ascii="Times New Roman" w:hAnsi="Times New Roman" w:cs="Times New Roman"/>
                      <w:bCs/>
                      <w:i/>
                      <w:color w:val="000000"/>
                    </w:rPr>
                    <w:t>40 347,78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-1 400,00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96,6</w:t>
                  </w:r>
                </w:p>
              </w:tc>
            </w:tr>
            <w:tr w:rsidR="00534632" w:rsidRPr="00655EE9" w:rsidTr="00534632">
              <w:trPr>
                <w:trHeight w:val="263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206C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21991,20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21 991,20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534632" w:rsidRPr="00655EE9" w:rsidTr="00534632">
              <w:trPr>
                <w:trHeight w:val="213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206C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206C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17709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16 612,60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-1 096,40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93,8</w:t>
                  </w:r>
                </w:p>
              </w:tc>
            </w:tr>
            <w:tr w:rsidR="00534632" w:rsidRPr="00655EE9" w:rsidTr="00534632">
              <w:trPr>
                <w:trHeight w:val="306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206C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3880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3 980,00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102,6</w:t>
                  </w:r>
                </w:p>
              </w:tc>
            </w:tr>
            <w:tr w:rsidR="00534632" w:rsidRPr="00655EE9" w:rsidTr="00534632">
              <w:trPr>
                <w:trHeight w:val="384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5206C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3207" w:type="dxa"/>
                  <w:hideMark/>
                </w:tcPr>
                <w:p w:rsidR="00534632" w:rsidRPr="00534632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11740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11 544,00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-196,00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98,3</w:t>
                  </w:r>
                </w:p>
              </w:tc>
            </w:tr>
            <w:tr w:rsidR="00534632" w:rsidRPr="00655EE9" w:rsidTr="00534632">
              <w:trPr>
                <w:trHeight w:val="233"/>
                <w:jc w:val="center"/>
              </w:trPr>
              <w:tc>
                <w:tcPr>
                  <w:tcW w:w="665" w:type="dxa"/>
                  <w:shd w:val="clear" w:color="auto" w:fill="auto"/>
                </w:tcPr>
                <w:p w:rsidR="00534632" w:rsidRPr="00655EE9" w:rsidRDefault="00534632" w:rsidP="00933229">
                  <w:pPr>
                    <w:widowControl w:val="0"/>
                    <w:autoSpaceDE w:val="0"/>
                    <w:autoSpaceDN w:val="0"/>
                    <w:adjustRightInd w:val="0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7" w:type="dxa"/>
                  <w:hideMark/>
                </w:tcPr>
                <w:p w:rsidR="00534632" w:rsidRPr="00655EE9" w:rsidRDefault="00534632" w:rsidP="002A1D97">
                  <w:pPr>
                    <w:widowControl w:val="0"/>
                    <w:autoSpaceDE w:val="0"/>
                    <w:autoSpaceDN w:val="0"/>
                    <w:adjustRightInd w:val="0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РАСХОДЫ, в</w:t>
                  </w:r>
                  <w:r w:rsidRPr="00655EE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сего </w:t>
                  </w:r>
                </w:p>
              </w:tc>
              <w:tc>
                <w:tcPr>
                  <w:tcW w:w="1913" w:type="dxa"/>
                  <w:vAlign w:val="center"/>
                </w:tcPr>
                <w:p w:rsidR="00534632" w:rsidRPr="00655EE9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887227,41</w:t>
                  </w:r>
                </w:p>
              </w:tc>
              <w:tc>
                <w:tcPr>
                  <w:tcW w:w="1774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34632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913 611,39</w:t>
                  </w:r>
                </w:p>
              </w:tc>
              <w:tc>
                <w:tcPr>
                  <w:tcW w:w="122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26 383,98</w:t>
                  </w:r>
                </w:p>
              </w:tc>
              <w:tc>
                <w:tcPr>
                  <w:tcW w:w="947" w:type="dxa"/>
                  <w:vAlign w:val="center"/>
                </w:tcPr>
                <w:p w:rsidR="00534632" w:rsidRPr="00534632" w:rsidRDefault="00534632" w:rsidP="0053463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3463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103,0</w:t>
                  </w:r>
                </w:p>
              </w:tc>
            </w:tr>
          </w:tbl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F9D" w:rsidRDefault="00655EE9" w:rsidP="0025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983A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Изменение плана затронуло 8 из 11</w:t>
            </w:r>
            <w:r w:rsidR="00983AD5" w:rsidRPr="00983A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разделов классификации расходов бюджетов за счет </w:t>
            </w:r>
            <w:r w:rsidR="00B266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увеличения</w:t>
            </w:r>
            <w:r w:rsidR="00983A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AD5" w:rsidRPr="00983A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безвозмездных поступлений от других бюджетов бюджетной системы Российской Федерации на сумму </w:t>
            </w:r>
            <w:r w:rsidR="00983AD5" w:rsidRPr="00983AD5">
              <w:rPr>
                <w:rFonts w:ascii="Times New Roman" w:hAnsi="Times New Roman" w:cs="Times New Roman"/>
                <w:sz w:val="24"/>
                <w:szCs w:val="24"/>
              </w:rPr>
              <w:t xml:space="preserve">26383,98 </w:t>
            </w:r>
            <w:proofErr w:type="spellStart"/>
            <w:r w:rsidR="00983AD5" w:rsidRPr="00983AD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83AD5" w:rsidRPr="00983A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83AD5" w:rsidRPr="00983AD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83AD5" w:rsidRPr="00983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4F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6DC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AA4FC1" w:rsidRPr="00AA4FC1">
              <w:rPr>
                <w:rFonts w:ascii="Times New Roman" w:hAnsi="Times New Roman" w:cs="Times New Roman"/>
                <w:sz w:val="24"/>
                <w:szCs w:val="24"/>
              </w:rPr>
              <w:t>в связи со сложившейся экономией</w:t>
            </w:r>
            <w:r w:rsidR="00983AD5" w:rsidRPr="00AA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3AD5" w:rsidRPr="0098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AD5" w:rsidRPr="00983A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перераспределени</w:t>
            </w:r>
            <w:r w:rsidR="00B266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ем</w:t>
            </w:r>
            <w:r w:rsidR="00983AD5" w:rsidRPr="00983A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бюджетных ассигнований между главными распорядителями, отдельными разделами, подразделами, целевыми статьями и видами расходов бюджета за счет средств местного бюджета</w:t>
            </w:r>
            <w:r w:rsidR="00983A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в том числе</w:t>
            </w:r>
            <w:r w:rsidR="009F1F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:rsidR="009F1F9D" w:rsidRDefault="009F1F9D" w:rsidP="0025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- программн</w:t>
            </w:r>
            <w:r w:rsidR="008100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ая часть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100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(муниципальные программы) </w:t>
            </w:r>
            <w:r w:rsidRPr="009F1F9D">
              <w:rPr>
                <w:rFonts w:ascii="Times New Roman" w:hAnsi="Times New Roman" w:cs="Times New Roman"/>
                <w:sz w:val="24"/>
                <w:szCs w:val="24"/>
              </w:rPr>
              <w:t>– увелич</w:t>
            </w:r>
            <w:r w:rsidR="009A1DC9">
              <w:rPr>
                <w:rFonts w:ascii="Times New Roman" w:hAnsi="Times New Roman" w:cs="Times New Roman"/>
                <w:sz w:val="24"/>
                <w:szCs w:val="24"/>
              </w:rPr>
              <w:t>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AD255C">
              <w:rPr>
                <w:rFonts w:ascii="Times New Roman" w:hAnsi="Times New Roman" w:cs="Times New Roman"/>
                <w:b/>
                <w:sz w:val="24"/>
                <w:szCs w:val="24"/>
              </w:rPr>
              <w:t>20578,17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F1F9D" w:rsidRDefault="009F1F9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F1F9D">
              <w:rPr>
                <w:rFonts w:ascii="Times New Roman" w:hAnsi="Times New Roman" w:cs="Times New Roman"/>
                <w:sz w:val="24"/>
                <w:szCs w:val="24"/>
              </w:rPr>
              <w:t>- непрограммные направления деятельности – увелич</w:t>
            </w:r>
            <w:r w:rsidR="009A1DC9">
              <w:rPr>
                <w:rFonts w:ascii="Times New Roman" w:hAnsi="Times New Roman" w:cs="Times New Roman"/>
                <w:sz w:val="24"/>
                <w:szCs w:val="24"/>
              </w:rPr>
              <w:t>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32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F2323" w:rsidRPr="00AD255C">
              <w:rPr>
                <w:rFonts w:ascii="Times New Roman" w:hAnsi="Times New Roman" w:cs="Times New Roman"/>
                <w:b/>
                <w:sz w:val="24"/>
                <w:szCs w:val="24"/>
              </w:rPr>
              <w:t>5805,79</w:t>
            </w:r>
            <w:r w:rsidR="002F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32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F232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232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F2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0039" w:rsidRDefault="00810039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 w:cs="Arial"/>
                <w:color w:val="333333"/>
              </w:rPr>
              <w:t xml:space="preserve">         </w:t>
            </w:r>
            <w:r w:rsidR="00C13FA3" w:rsidRPr="00C13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C13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асходы на</w:t>
            </w:r>
            <w:r w:rsidRPr="0081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0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направления</w:t>
            </w:r>
            <w:r w:rsidRPr="008100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C13FA3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</w:t>
            </w:r>
            <w:r w:rsidRPr="00810039">
              <w:rPr>
                <w:rFonts w:ascii="Times New Roman" w:hAnsi="Times New Roman" w:cs="Times New Roman"/>
                <w:sz w:val="24"/>
                <w:szCs w:val="24"/>
              </w:rPr>
              <w:t>корректируются следующим образом:</w:t>
            </w:r>
          </w:p>
          <w:p w:rsidR="00810039" w:rsidRDefault="00810039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810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ГРБС а</w:t>
            </w:r>
            <w:r w:rsidRPr="00D738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дминистрация Лесозаводского городского округа</w:t>
            </w:r>
            <w:r w:rsidR="00EE5D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AD2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+759,84</w:t>
            </w:r>
            <w:r w:rsidR="0045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5D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тыс</w:t>
            </w:r>
            <w:proofErr w:type="gramStart"/>
            <w:r w:rsidR="00EE5D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.р</w:t>
            </w:r>
            <w:proofErr w:type="gramEnd"/>
            <w:r w:rsidR="00EE5D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уб</w:t>
            </w:r>
            <w:proofErr w:type="spellEnd"/>
            <w:r w:rsidR="00EE5D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A3BE8" w:rsidRDefault="00810039" w:rsidP="009F1F9D">
            <w:pPr>
              <w:autoSpaceDE w:val="0"/>
              <w:autoSpaceDN w:val="0"/>
              <w:adjustRightInd w:val="0"/>
              <w:rPr>
                <w:rFonts w:ascii="Open Sans" w:hAnsi="Open Sans" w:cs="Arial"/>
              </w:rPr>
            </w:pPr>
            <w:r w:rsidRPr="00810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1D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C13F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3BE8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на </w:t>
            </w:r>
            <w:r w:rsidR="0062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3BE8" w:rsidRPr="00BA3B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450 </w:t>
            </w:r>
            <w:proofErr w:type="spellStart"/>
            <w:r w:rsidR="00BA3BE8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BA3BE8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BA3BE8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BA3BE8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A3BE8" w:rsidRP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</w:t>
            </w:r>
            <w:r w:rsid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0113) </w:t>
            </w:r>
            <w:r w:rsidR="00BA3BE8" w:rsidRPr="00BA3B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BA3BE8" w:rsidRPr="00BA3BE8">
              <w:rPr>
                <w:rFonts w:ascii="Times New Roman" w:hAnsi="Times New Roman" w:cs="Times New Roman"/>
                <w:sz w:val="24"/>
                <w:szCs w:val="24"/>
              </w:rPr>
              <w:t>на исполнение судебных решений</w:t>
            </w:r>
            <w:r w:rsidR="00BE2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BE8" w:rsidRPr="00BA3BE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бюджета.</w:t>
            </w:r>
            <w:r w:rsidR="00BE2F1F">
              <w:rPr>
                <w:rFonts w:ascii="Open Sans" w:hAnsi="Open Sans" w:cs="Arial"/>
                <w:color w:val="333333"/>
              </w:rPr>
              <w:t xml:space="preserve"> </w:t>
            </w:r>
            <w:r w:rsidR="00BE2F1F" w:rsidRPr="007C3C3F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7C3C3F" w:rsidRPr="007C3C3F">
              <w:rPr>
                <w:rFonts w:ascii="Times New Roman" w:hAnsi="Times New Roman" w:cs="Times New Roman"/>
                <w:sz w:val="24"/>
                <w:szCs w:val="24"/>
              </w:rPr>
              <w:t xml:space="preserve">в сумме 450 </w:t>
            </w:r>
            <w:proofErr w:type="spellStart"/>
            <w:r w:rsidR="007C3C3F" w:rsidRPr="007C3C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7C3C3F" w:rsidRPr="007C3C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C3C3F" w:rsidRPr="007C3C3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7C3C3F" w:rsidRPr="007C3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2F1F" w:rsidRPr="007C3C3F">
              <w:rPr>
                <w:rFonts w:ascii="Times New Roman" w:hAnsi="Times New Roman" w:cs="Times New Roman"/>
                <w:sz w:val="24"/>
                <w:szCs w:val="24"/>
              </w:rPr>
              <w:t>планируется направить на</w:t>
            </w:r>
            <w:r w:rsidR="00735622" w:rsidRPr="007C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C3F" w:rsidRPr="007C3C3F">
              <w:rPr>
                <w:rFonts w:ascii="Times New Roman" w:hAnsi="Times New Roman" w:cs="Times New Roman"/>
                <w:sz w:val="24"/>
                <w:szCs w:val="24"/>
              </w:rPr>
              <w:t xml:space="preserve">оплату штрафов ОГИБДД МО МВД России Лесозаводский (постановления по делу об административном правонарушении от 28.02.2017, </w:t>
            </w:r>
            <w:r w:rsidR="007C3C3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C3C3F" w:rsidRPr="007C3C3F">
              <w:rPr>
                <w:rFonts w:ascii="Times New Roman" w:hAnsi="Times New Roman" w:cs="Times New Roman"/>
                <w:sz w:val="24"/>
                <w:szCs w:val="24"/>
              </w:rPr>
              <w:t>01.03.2017).</w:t>
            </w:r>
            <w:r w:rsidR="007C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сводной бюджетной росписью на 2018 год по состоянию на 19.11.2018 расходы на исполнение судебных решений предусмотрены в сумме 813,92 </w:t>
            </w:r>
            <w:proofErr w:type="spellStart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 xml:space="preserve">., исполнение на 01.11.2018 составляет 703,2 </w:t>
            </w:r>
            <w:proofErr w:type="spellStart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 xml:space="preserve">., остаток средств на исполнение решений суда – 110,72 </w:t>
            </w:r>
            <w:proofErr w:type="spellStart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735622" w:rsidRPr="0073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622" w:rsidRPr="00735622">
              <w:rPr>
                <w:rFonts w:ascii="Open Sans" w:hAnsi="Open Sans" w:cs="Arial"/>
              </w:rPr>
              <w:t xml:space="preserve"> </w:t>
            </w:r>
            <w:r w:rsidR="00BE2F1F">
              <w:rPr>
                <w:rFonts w:ascii="Open Sans" w:hAnsi="Open Sans" w:cs="Arial"/>
              </w:rPr>
              <w:t>;</w:t>
            </w:r>
          </w:p>
          <w:p w:rsidR="00EE5D7A" w:rsidRDefault="00BE2F1F" w:rsidP="00EE5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EE5D7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273A0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величение</w:t>
            </w:r>
            <w:r w:rsidR="00EE5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273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1086,08</w:t>
            </w:r>
            <w:r w:rsidR="00EE5D7A" w:rsidRPr="00BA3B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E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E5D7A" w:rsidRP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</w:t>
            </w:r>
            <w:r w:rsidR="00EE5D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0104) - </w:t>
            </w:r>
            <w:r w:rsidR="00EE5D7A"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73A0"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обеспечение деятельности </w:t>
            </w:r>
            <w:r w:rsidR="00EE5D7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</w:t>
            </w:r>
            <w:r w:rsidR="006273A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E5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Лесозаводского городского округа;</w:t>
            </w:r>
          </w:p>
          <w:p w:rsidR="003C4D9E" w:rsidRDefault="00BE2F1F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C4D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="003C4D9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C4D9E"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меньшен</w:t>
            </w:r>
            <w:r w:rsidR="003C4D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</w:t>
            </w:r>
            <w:r w:rsidR="003C4D9E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2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(-)</w:t>
            </w:r>
            <w:r w:rsidR="003C4D9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186,1</w:t>
            </w:r>
            <w:r w:rsidR="003C4D9E" w:rsidRPr="00BA3B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4D9E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3C4D9E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3C4D9E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3C4D9E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C4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3C4D9E" w:rsidRP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</w:t>
            </w:r>
            <w:r w:rsidR="003C4D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0113) - </w:t>
            </w:r>
            <w:r w:rsidR="006273A0"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обеспечение деятельности</w:t>
            </w:r>
            <w:r w:rsidR="003C4D9E"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4D9E">
              <w:rPr>
                <w:rFonts w:ascii="Times New Roman" w:hAnsi="Times New Roman" w:cs="Times New Roman"/>
                <w:bCs/>
                <w:sz w:val="24"/>
                <w:szCs w:val="24"/>
              </w:rPr>
              <w:t>глав</w:t>
            </w:r>
            <w:r w:rsidR="006273A0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3C4D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Лесозаводского городского округа;</w:t>
            </w:r>
          </w:p>
          <w:p w:rsidR="003C4D9E" w:rsidRPr="00655EE9" w:rsidRDefault="003C4D9E" w:rsidP="003C4D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r w:rsidRPr="003C4D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0502) -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</w:t>
            </w:r>
            <w:r w:rsidR="003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МУП «Уссури» 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частичное возмещение затрат, связанных с предоставлением услуг населению по водоснабжению и водоотведению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384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результатам предлагаемого изменения </w:t>
            </w:r>
            <w:r w:rsidR="00384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384787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бщий объем субсидии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 тыс. руб.</w:t>
            </w:r>
          </w:p>
          <w:p w:rsidR="003C4D9E" w:rsidRDefault="003C4D9E" w:rsidP="009F1F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62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3C4D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1200) </w:t>
            </w:r>
            <w:r w:rsidR="00454C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454C9E" w:rsidRPr="0045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МАУ ЛТВ на </w:t>
            </w:r>
            <w:r w:rsidR="00454C9E" w:rsidRPr="00454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в средствах массовой информации</w:t>
            </w:r>
            <w:r w:rsidR="00454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54C9E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Общий объем субсидии </w:t>
            </w:r>
            <w:r w:rsidR="00454C9E" w:rsidRPr="00454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ЛТВ </w:t>
            </w:r>
            <w:r w:rsidR="00454C9E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результатам предлагаемого изменения составит сумму </w:t>
            </w:r>
            <w:r w:rsidR="00454C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3980</w:t>
            </w:r>
            <w:r w:rsidR="00454C9E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  <w:r w:rsidR="00C13F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13FA3" w:rsidRDefault="00C13FA3" w:rsidP="00C13FA3">
            <w:pPr>
              <w:autoSpaceDE w:val="0"/>
              <w:autoSpaceDN w:val="0"/>
              <w:adjustRightInd w:val="0"/>
              <w:rPr>
                <w:rFonts w:ascii="Open Sans" w:hAnsi="Open Sans" w:cs="Ari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у</w:t>
            </w:r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меньшен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 на (-)</w:t>
            </w:r>
            <w:r w:rsidRPr="00BA3B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957,8</w:t>
            </w:r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17A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подраздел 01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13)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расходов</w:t>
            </w: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полномочий Российской Федерации по государственной регистрации актов гражданского состояния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(субвенции</w:t>
            </w:r>
            <w:r w:rsidRPr="00D738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7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</w:t>
            </w:r>
            <w:r w:rsidRPr="009A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D7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</w:t>
            </w:r>
            <w:r w:rsidRPr="009A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D7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Pr="009A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сокращены </w:t>
            </w:r>
            <w:r w:rsidRPr="009A1DC9">
              <w:rPr>
                <w:rFonts w:ascii="Times New Roman" w:hAnsi="Times New Roman" w:cs="Times New Roman"/>
                <w:sz w:val="24"/>
                <w:szCs w:val="24"/>
              </w:rPr>
              <w:t>Законом Приморского края от 03.12.2018 № 396-КЗ «О внесении изменений в Закон Приморского края «О краевом бюджете на 2018 год и плановый период 2019 и 2020 годов»);</w:t>
            </w:r>
            <w:r w:rsidRPr="009A1DC9">
              <w:rPr>
                <w:rFonts w:ascii="Open Sans" w:hAnsi="Open Sans" w:cs="Arial"/>
              </w:rPr>
              <w:t xml:space="preserve"> </w:t>
            </w:r>
          </w:p>
          <w:p w:rsidR="00C13FA3" w:rsidRDefault="00C13FA3" w:rsidP="00C13F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меньшен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 на (-)</w:t>
            </w:r>
            <w:r w:rsidRPr="00DA7D4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232,34 </w:t>
            </w:r>
            <w:proofErr w:type="spellStart"/>
            <w:r w:rsidRPr="00BA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BA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BA3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17A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подраздел 010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7) – </w:t>
            </w:r>
            <w:r w:rsidRPr="008C2733">
              <w:rPr>
                <w:rFonts w:ascii="Times New Roman" w:hAnsi="Times New Roman" w:cs="Times New Roman"/>
                <w:sz w:val="24"/>
                <w:szCs w:val="24"/>
              </w:rPr>
              <w:t>в связи со сложившейся экономией</w:t>
            </w:r>
            <w:r w:rsidRPr="008C2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D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 </w:t>
            </w:r>
            <w:r w:rsidRPr="00D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выборов в Думу Лесозаводского городского округа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3C4D9E" w:rsidRPr="003C4D9E" w:rsidRDefault="003C4D9E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3C4D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ГРБС </w:t>
            </w:r>
            <w:r w:rsidRPr="003C4D9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Контрольно-счетная палата</w:t>
            </w:r>
            <w:r w:rsidR="00455B5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:</w:t>
            </w:r>
          </w:p>
          <w:p w:rsidR="003C4D9E" w:rsidRDefault="003C4D9E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на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70</w:t>
            </w:r>
            <w:r w:rsidRPr="00BA3B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обеспечение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Контрольно-счетной палаты</w:t>
            </w:r>
            <w:r w:rsidR="00455B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55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55B5D" w:rsidRPr="00BA3B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</w:t>
            </w:r>
            <w:r w:rsidR="00455B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0113)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55B5D" w:rsidRPr="00455B5D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Pr="00455B5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ГРБС Управление образования:</w:t>
            </w:r>
          </w:p>
          <w:p w:rsidR="00455B5D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на </w:t>
            </w:r>
            <w:r w:rsidRPr="00455B5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4979,94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EE5D7A"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E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E5D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5D7A"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обеспечение деятельности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 Управление образования</w:t>
            </w:r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E5D7A" w:rsidRPr="00963BC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(подраздел 0709</w:t>
            </w:r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</w:p>
          <w:p w:rsidR="00455B5D" w:rsidRPr="00455B5D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455B5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ГРБС Управление культуры, молодежной политики и спорта:</w:t>
            </w:r>
          </w:p>
          <w:p w:rsidR="00455B5D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BA3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на </w:t>
            </w:r>
            <w:r w:rsidR="00EE5D7A" w:rsidRPr="00455B5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1000</w:t>
            </w:r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обеспечение деятельности</w:t>
            </w:r>
            <w:r w:rsidRPr="00455B5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455B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 Управление культуры, молодежной политики и спорта</w:t>
            </w:r>
            <w:r w:rsidR="00EE5D7A" w:rsidRPr="00455B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EE5D7A" w:rsidRPr="00750B2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подраздел 0801</w:t>
            </w:r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), </w:t>
            </w:r>
          </w:p>
          <w:p w:rsidR="00455B5D" w:rsidRPr="00455B5D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Pr="00455B5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ГРБС МКУ «ХОЗУ ЛГО»:</w:t>
            </w:r>
          </w:p>
          <w:p w:rsidR="003C4D9E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уменьшение на </w:t>
            </w:r>
            <w:r w:rsidR="006273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(-)</w:t>
            </w:r>
            <w:r w:rsidR="00EE5D7A" w:rsidRPr="00455B5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1500 </w:t>
            </w:r>
            <w:proofErr w:type="spellStart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(</w:t>
            </w:r>
            <w:r w:rsidR="00EE5D7A" w:rsidRPr="00750B2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подраздел 0113</w:t>
            </w:r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3C7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9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797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234" w:rsidRPr="0079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797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79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услуги) по содержанию </w:t>
            </w:r>
            <w:r w:rsidR="0079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имущества,</w:t>
            </w:r>
            <w:r w:rsidR="00797234"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C7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связи с тем, что до конца года бюджетные средства не будут освоены</w:t>
            </w:r>
            <w:r w:rsidR="00EE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55B5D" w:rsidRPr="00455B5D" w:rsidRDefault="00455B5D" w:rsidP="009F1F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455B5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ГРБС Финансовое управление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:</w:t>
            </w:r>
          </w:p>
          <w:p w:rsidR="00BE2F1F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r w:rsidRPr="0045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подраздел 01</w:t>
            </w:r>
            <w:r w:rsidR="006273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  <w:r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обеспечение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Финансового управления;</w:t>
            </w:r>
          </w:p>
          <w:p w:rsidR="00455B5D" w:rsidRDefault="00455B5D" w:rsidP="009F1F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ГРБС </w:t>
            </w:r>
            <w:r w:rsidRPr="00455B5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Управление имущественных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BE2F1F" w:rsidRDefault="00455B5D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BB19AD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BB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r w:rsidR="00B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BB19AD" w:rsidRPr="003C4D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 w:rsidR="00BB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BB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BB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BB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5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подраздел 0113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  <w:r w:rsidRPr="00BE2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обеспечение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Управления имущественных отношений</w:t>
            </w:r>
            <w:r w:rsidR="00AD25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80DAA" w:rsidRDefault="00384787" w:rsidP="003847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решения предусмотрено </w:t>
            </w:r>
            <w:r w:rsidRPr="00384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повторное увеличение субсидии </w:t>
            </w:r>
            <w:r w:rsidRPr="003847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МУП «Уссури»</w:t>
            </w:r>
            <w:r w:rsidR="00907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частичное возмещение затрат, связанных с предоставлением услуг населению по водоснабжению и водоотведению на сумму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0DAA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Общий объем субсидии </w:t>
            </w:r>
            <w:r w:rsidR="00380DAA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МУП «Уссури»  </w:t>
            </w:r>
            <w:r w:rsidR="00380DAA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результатам предлагаемого изменения составит сумму 1</w:t>
            </w:r>
            <w:r w:rsidR="00380D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380DAA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 тыс. руб.</w:t>
            </w:r>
          </w:p>
          <w:p w:rsidR="00384787" w:rsidRPr="001E1588" w:rsidRDefault="00380DAA" w:rsidP="003847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DA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E15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7E7D" w:rsidRPr="001E1588">
              <w:rPr>
                <w:rFonts w:ascii="Times New Roman" w:hAnsi="Times New Roman" w:cs="Times New Roman"/>
                <w:sz w:val="24"/>
                <w:szCs w:val="24"/>
              </w:rPr>
              <w:t xml:space="preserve">ешением от 19.11.2018 №27-НПА субсидия увеличена на 550 </w:t>
            </w:r>
            <w:proofErr w:type="spellStart"/>
            <w:r w:rsidR="00907E7D" w:rsidRPr="001E158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07E7D" w:rsidRPr="001E158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07E7D" w:rsidRPr="001E158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07E7D" w:rsidRPr="001E1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588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составила 1200 </w:t>
            </w:r>
            <w:proofErr w:type="spellStart"/>
            <w:r w:rsidRPr="001E158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1588">
              <w:rPr>
                <w:rFonts w:ascii="Times New Roman" w:hAnsi="Times New Roman" w:cs="Times New Roman"/>
                <w:sz w:val="24"/>
                <w:szCs w:val="24"/>
              </w:rPr>
              <w:t xml:space="preserve">. при размере убытка на   01.09.2018 по данным МУП «Уссури» 1001,5 </w:t>
            </w:r>
            <w:proofErr w:type="spellStart"/>
            <w:r w:rsidRPr="001E158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1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4787" w:rsidRPr="001E1588" w:rsidRDefault="00384787" w:rsidP="00384787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Контрольно-счетн</w:t>
            </w:r>
            <w:r w:rsidR="00380DAA"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ая</w:t>
            </w:r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палат</w:t>
            </w:r>
            <w:r w:rsidR="00380DAA"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</w:t>
            </w:r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от</w:t>
            </w:r>
            <w:r w:rsidR="00380DAA"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мечает, что </w:t>
            </w:r>
            <w:r w:rsidRPr="001E158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изменение в бюджет по </w:t>
            </w:r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увеличению субсидии на частичное возмещение затрат, связанных с предоставлением услуг населению по водоснабжению и водоотведению, на сумму 500 </w:t>
            </w:r>
            <w:proofErr w:type="spellStart"/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тыс</w:t>
            </w:r>
            <w:proofErr w:type="gramStart"/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уб</w:t>
            </w:r>
            <w:proofErr w:type="spellEnd"/>
            <w:r w:rsidRPr="001E158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</w:t>
            </w:r>
            <w:r w:rsidRPr="001E1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1E15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не обоснованно</w:t>
            </w:r>
            <w:r w:rsidR="00221AAF" w:rsidRPr="001E158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</w:p>
          <w:p w:rsidR="00384787" w:rsidRPr="00655EE9" w:rsidRDefault="00384787" w:rsidP="00C1391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655E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пояснительной записке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Проекту решения </w:t>
            </w:r>
            <w:r w:rsidR="00FF2C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отсутствует</w:t>
            </w:r>
            <w:r w:rsidRPr="00655E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расчет  размера субсидии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год на сумму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FF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 финансовое обоснование увеличения размера субсидии МУП «Уссури» на 5</w:t>
            </w:r>
            <w:r w:rsidR="00FF2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F2C99" w:rsidRDefault="00384787" w:rsidP="003847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55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подготовки заключения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Контрольно-счетной палатой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истребованы документы МУП «Уссури» для получения субсидии. </w:t>
            </w:r>
          </w:p>
          <w:p w:rsidR="000214D4" w:rsidRDefault="00384787" w:rsidP="00384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55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r w:rsidR="00FF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C9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</w:t>
            </w:r>
            <w:r w:rsidR="00FC6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r w:rsidR="00FC6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«МУП Уссури»</w:t>
            </w:r>
            <w:r w:rsidR="00FF2C9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</w:t>
            </w:r>
            <w:r w:rsidR="006E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FF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C9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подвозу воды населению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FF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2018 года составляет </w:t>
            </w:r>
            <w:r w:rsidR="00FF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45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5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  <w:p w:rsidR="006E596F" w:rsidRPr="000214D4" w:rsidRDefault="000214D4" w:rsidP="0038478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C13919" w:rsidRPr="00021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Контрольно-счетная палата отмечает</w:t>
            </w:r>
            <w:r w:rsidR="00C13919" w:rsidRPr="000214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что </w:t>
            </w:r>
            <w:r w:rsidR="00C13919" w:rsidRPr="000214D4">
              <w:rPr>
                <w:rFonts w:ascii="Times New Roman" w:hAnsi="Times New Roman" w:cs="Times New Roman"/>
                <w:sz w:val="24"/>
                <w:szCs w:val="24"/>
              </w:rPr>
              <w:t>не соответствие  данных</w:t>
            </w:r>
            <w:r w:rsidR="00C13919" w:rsidRPr="00021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919" w:rsidRPr="000214D4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доходам,  расходам и сумме убытка </w:t>
            </w:r>
            <w:r w:rsidR="00C13919" w:rsidRPr="00021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919" w:rsidRPr="000214D4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 МУП «Уссури» и бухгалтерских документах </w:t>
            </w:r>
            <w:r w:rsidR="00C13919" w:rsidRPr="00021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позволяет признать достоверность убытков</w:t>
            </w:r>
            <w:r w:rsidR="00C13919" w:rsidRPr="000214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3919" w:rsidRPr="00021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МУП «Уссури».</w:t>
            </w:r>
          </w:p>
          <w:p w:rsidR="006E596F" w:rsidRPr="006E596F" w:rsidRDefault="006E596F" w:rsidP="00FC6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>При анализе представленн</w:t>
            </w:r>
            <w:r w:rsidR="00FC6714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</w:t>
            </w:r>
            <w:r w:rsidR="00FC67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подтверждающих документов МУП «Уссури» установлено следующее:</w:t>
            </w:r>
          </w:p>
          <w:p w:rsidR="006E596F" w:rsidRDefault="006E596F" w:rsidP="006710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-с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умма доходов составила – 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458827 руб., что не соответствует сумме доходов, рассчитанн</w:t>
            </w:r>
            <w:r w:rsidR="00C13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 количества отпущенной воды 1463,768 </w:t>
            </w:r>
            <w:proofErr w:type="spellStart"/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куб</w:t>
            </w:r>
            <w:proofErr w:type="gramStart"/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(доходы составляют 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>447295  руб.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E596F" w:rsidRPr="006E596F" w:rsidRDefault="006E596F" w:rsidP="006E5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-сумма расходов составила 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1828236 руб.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>асходы на амортизацию по транспорту, используемому в оказании услуг по подвозу 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расчету предприятия -103048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Однако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асходы на амортизацию 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>не подтверждаются (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>не соответствуют фактическим данным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Таким образом, расходы  принимаются в сумме 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>1725188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C13919" w:rsidRDefault="006E596F" w:rsidP="00671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-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убытка </w:t>
            </w:r>
            <w:proofErr w:type="gramStart"/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учетом 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принятой амортизации) 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>по оказанию услуг по подвозу воды за 11 месяцев 2018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ляет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>266361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Расчет убытка за год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>1266361</w:t>
            </w:r>
            <w:r w:rsidR="0067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>руб./11мес.*12 мес.=1</w:t>
            </w:r>
            <w:r w:rsidR="007A5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381485 </w:t>
            </w:r>
            <w:r w:rsidRPr="006E596F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  <w:r w:rsidR="00C1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3919" w:rsidRPr="00607E74" w:rsidRDefault="00221AAF" w:rsidP="006E5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E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384787" w:rsidRPr="00655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6E596F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 палата обращает внимание, что  </w:t>
            </w:r>
            <w:r w:rsidR="00384787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субсидии на частичное возмещение затрат, не может превышать  сумму убытков «МУП Уссури» по подвозу воды населению. </w:t>
            </w:r>
          </w:p>
          <w:p w:rsidR="00C13919" w:rsidRPr="00607E74" w:rsidRDefault="00956F75" w:rsidP="00C1391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13919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этом, з</w:t>
            </w:r>
            <w:r w:rsidR="00C13919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апланированный в бюджете на 2018 год объем субсидии (1700 </w:t>
            </w:r>
            <w:proofErr w:type="spellStart"/>
            <w:r w:rsidR="00C13919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C13919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13919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C13919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  <w:r w:rsidR="00C13919" w:rsidRPr="00607E74">
              <w:rPr>
                <w:rFonts w:ascii="Times New Roman" w:hAnsi="Times New Roman"/>
                <w:sz w:val="24"/>
                <w:szCs w:val="24"/>
              </w:rPr>
              <w:t xml:space="preserve"> превышает</w:t>
            </w:r>
            <w:r w:rsidR="007A53F8" w:rsidRPr="00607E74">
              <w:rPr>
                <w:rFonts w:ascii="Times New Roman" w:hAnsi="Times New Roman"/>
                <w:sz w:val="24"/>
                <w:szCs w:val="24"/>
              </w:rPr>
              <w:t xml:space="preserve"> планируемый </w:t>
            </w:r>
            <w:r w:rsidR="00C13919" w:rsidRPr="00607E74">
              <w:rPr>
                <w:rFonts w:ascii="Times New Roman" w:hAnsi="Times New Roman"/>
                <w:sz w:val="24"/>
                <w:szCs w:val="24"/>
              </w:rPr>
              <w:t>убыток</w:t>
            </w:r>
            <w:r w:rsidR="001E1588" w:rsidRPr="00607E74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 w:rsidR="007A53F8" w:rsidRPr="00607E74">
              <w:rPr>
                <w:rFonts w:ascii="Times New Roman" w:hAnsi="Times New Roman"/>
                <w:sz w:val="24"/>
                <w:szCs w:val="24"/>
              </w:rPr>
              <w:t xml:space="preserve"> (1382 </w:t>
            </w:r>
            <w:proofErr w:type="spellStart"/>
            <w:r w:rsidR="007A53F8" w:rsidRPr="00607E74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7A53F8" w:rsidRPr="00607E74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="00C13919" w:rsidRPr="00607E7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7A53F8" w:rsidRPr="00607E74">
              <w:rPr>
                <w:rFonts w:ascii="Times New Roman" w:hAnsi="Times New Roman"/>
                <w:sz w:val="24"/>
                <w:szCs w:val="24"/>
              </w:rPr>
              <w:t>318</w:t>
            </w:r>
            <w:r w:rsidR="00C13919" w:rsidRPr="0060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3919" w:rsidRPr="00607E74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C13919" w:rsidRPr="00607E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4787" w:rsidRPr="00607E74" w:rsidRDefault="006879A8" w:rsidP="00DD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</w:t>
            </w:r>
            <w:r w:rsidR="00384787" w:rsidRPr="00607E74">
              <w:rPr>
                <w:sz w:val="24"/>
                <w:szCs w:val="24"/>
              </w:rPr>
              <w:t xml:space="preserve"> </w:t>
            </w:r>
            <w:r w:rsidR="00384787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Исходя из изложенного, Контрольно-счетная палата считает, что </w:t>
            </w:r>
            <w:r w:rsidR="00956F75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6F75" w:rsidRPr="0060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бщий объем субсидии </w:t>
            </w:r>
            <w:r w:rsidR="00956F75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«МУП Уссури» </w:t>
            </w:r>
            <w:r w:rsidR="00956F75" w:rsidRPr="0060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может превысить 1382 </w:t>
            </w:r>
            <w:proofErr w:type="spellStart"/>
            <w:r w:rsidR="00956F75" w:rsidRPr="0060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="00956F75" w:rsidRPr="0060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="00956F75" w:rsidRPr="0060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="00956F75" w:rsidRPr="0060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956F75" w:rsidRPr="0060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бюджетных ассигнований на субсидии МУП «Уссури» в </w:t>
            </w:r>
            <w:r w:rsidR="00956F75" w:rsidRPr="00607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сумме 318 тыс. руб. (1700-1382) не имеют финансово-экономического обоснования.</w:t>
            </w:r>
          </w:p>
          <w:p w:rsidR="00455B5D" w:rsidRPr="000214D4" w:rsidRDefault="00DD6728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7E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В соответствии с п.2 ст.7  Федерального закона от 14.11.2002 N 161-ФЗ "О государственных и муниципальных унитарных предприятиях"  муниципальное образование не несет ответственность по обязательствам муниципального предприятия,</w:t>
            </w:r>
            <w:r w:rsidRPr="000214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 исключением случаев, если несостоятельность (банкротство) такого предприятия вызвана собственником его имущества.</w:t>
            </w:r>
          </w:p>
          <w:p w:rsidR="00DD6728" w:rsidRPr="00BA3BE8" w:rsidRDefault="00DD6728" w:rsidP="009F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23" w:rsidRPr="002F2323" w:rsidRDefault="002F2323" w:rsidP="002F23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00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</w:t>
            </w:r>
            <w:r w:rsidR="00810039" w:rsidRPr="008100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Программная часть бюджета</w:t>
            </w:r>
            <w:r w:rsidR="00810039" w:rsidRPr="00810039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 корректируется на основании внесения изменений в действующие муниципальные программы Лесозаводского городского округа на сумму </w:t>
            </w:r>
            <w:r w:rsidR="00810039" w:rsidRPr="0081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20578,17 </w:t>
            </w:r>
            <w:proofErr w:type="spellStart"/>
            <w:r w:rsidR="00810039" w:rsidRPr="0081003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810039" w:rsidRPr="008100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10039" w:rsidRPr="0081003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810039" w:rsidRPr="0081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00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8100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2F23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Изменение финансирования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разрезе </w:t>
            </w: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 программ и непрограммных </w:t>
            </w:r>
            <w:r w:rsidRPr="002F23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расходов в 2018 году представлено в таблице:</w:t>
            </w:r>
            <w:r w:rsidRPr="002F232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2F2323" w:rsidRPr="002F2323" w:rsidRDefault="002F2323" w:rsidP="002F2323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(</w:t>
            </w:r>
            <w:proofErr w:type="spellStart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2F2323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 xml:space="preserve">          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5132"/>
              <w:gridCol w:w="1418"/>
              <w:gridCol w:w="1134"/>
              <w:gridCol w:w="1276"/>
            </w:tblGrid>
            <w:tr w:rsidR="002F2323" w:rsidRPr="002F2323" w:rsidTr="000773F3">
              <w:trPr>
                <w:trHeight w:val="641"/>
              </w:trPr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F2323" w:rsidRPr="002F2323" w:rsidRDefault="002F2323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  <w:tcBorders>
                    <w:bottom w:val="single" w:sz="4" w:space="0" w:color="auto"/>
                  </w:tcBorders>
                </w:tcPr>
                <w:p w:rsidR="002F2323" w:rsidRPr="002F2323" w:rsidRDefault="002F2323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2F2323" w:rsidRPr="002F2323" w:rsidRDefault="002F2323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2F2323" w:rsidRPr="002F2323" w:rsidRDefault="002F2323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Утверждено</w:t>
                  </w:r>
                </w:p>
                <w:p w:rsidR="002F2323" w:rsidRPr="002F2323" w:rsidRDefault="002F2323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на 2018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2F2323" w:rsidRPr="002F2323" w:rsidRDefault="002F2323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Проект Решения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F2323" w:rsidRPr="002F2323" w:rsidRDefault="002F2323" w:rsidP="002F2323">
                  <w:pPr>
                    <w:tabs>
                      <w:tab w:val="left" w:pos="677"/>
                      <w:tab w:val="left" w:pos="1593"/>
                    </w:tabs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</w:p>
                <w:p w:rsidR="002F2323" w:rsidRPr="002F2323" w:rsidRDefault="002F2323" w:rsidP="002F2323">
                  <w:pPr>
                    <w:tabs>
                      <w:tab w:val="left" w:pos="677"/>
                      <w:tab w:val="left" w:pos="1593"/>
                    </w:tabs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Изменения</w:t>
                  </w:r>
                </w:p>
                <w:p w:rsidR="002F2323" w:rsidRPr="002F2323" w:rsidRDefault="002F2323" w:rsidP="002F2323">
                  <w:pPr>
                    <w:tabs>
                      <w:tab w:val="left" w:pos="1593"/>
                    </w:tabs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( +/-)</w:t>
                  </w:r>
                </w:p>
              </w:tc>
            </w:tr>
            <w:tr w:rsidR="004D6A4A" w:rsidRPr="002F2323" w:rsidTr="004D6A4A">
              <w:trPr>
                <w:trHeight w:val="285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"Развитие образования Лесозаводского городского округа на 2014-2020 годы" 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508317,63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528695,07</w:t>
                  </w:r>
                </w:p>
              </w:tc>
              <w:tc>
                <w:tcPr>
                  <w:tcW w:w="1276" w:type="dxa"/>
                </w:tcPr>
                <w:p w:rsidR="004D6A4A" w:rsidRPr="004D6A4A" w:rsidRDefault="00810039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+</w:t>
                  </w:r>
                  <w:r w:rsidR="004D6A4A"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20377,44</w:t>
                  </w:r>
                </w:p>
              </w:tc>
            </w:tr>
            <w:tr w:rsidR="004D6A4A" w:rsidRPr="002F2323" w:rsidTr="004D6A4A">
              <w:trPr>
                <w:trHeight w:val="285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  <w:proofErr w:type="spellStart"/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Энергоэффективность</w:t>
                  </w:r>
                  <w:proofErr w:type="spellEnd"/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развитие системы газоснабжения в Лесозаводском городском округе» на 2014 - 2020годы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11538,55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11538,55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D6A4A" w:rsidRPr="002F2323" w:rsidTr="004D6A4A">
              <w:trPr>
                <w:trHeight w:val="285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2014 - 2020 годы "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22202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21002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-1200</w:t>
                  </w:r>
                </w:p>
              </w:tc>
            </w:tr>
            <w:tr w:rsidR="004D6A4A" w:rsidRPr="002F2323" w:rsidTr="004D6A4A"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"Сохранение и развитие культуры на территории Лесозаводского городского округа на 2014-2020 годы"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66854,62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65854,62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-1000</w:t>
                  </w:r>
                </w:p>
              </w:tc>
            </w:tr>
            <w:tr w:rsidR="004D6A4A" w:rsidRPr="002F2323" w:rsidTr="004D6A4A"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34678,25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36079,87</w:t>
                  </w:r>
                </w:p>
              </w:tc>
              <w:tc>
                <w:tcPr>
                  <w:tcW w:w="1276" w:type="dxa"/>
                </w:tcPr>
                <w:p w:rsidR="004D6A4A" w:rsidRPr="004D6A4A" w:rsidRDefault="00810039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+</w:t>
                  </w:r>
                  <w:r w:rsidR="004D6A4A"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1401,62</w:t>
                  </w:r>
                </w:p>
              </w:tc>
            </w:tr>
            <w:tr w:rsidR="004D6A4A" w:rsidRPr="002F2323" w:rsidTr="004D6A4A"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2014-2020 годы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815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815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D6A4A" w:rsidRPr="002F2323" w:rsidTr="004D6A4A"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"Модернизация дорожной сети Лесозаводского городского округа" на 2014 - 2020 годы и  на период до 2025 года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36656,72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38554,72</w:t>
                  </w:r>
                </w:p>
              </w:tc>
              <w:tc>
                <w:tcPr>
                  <w:tcW w:w="1276" w:type="dxa"/>
                </w:tcPr>
                <w:p w:rsidR="004D6A4A" w:rsidRPr="004D6A4A" w:rsidRDefault="00810039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+</w:t>
                  </w:r>
                  <w:r w:rsidR="004D6A4A"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1898</w:t>
                  </w:r>
                </w:p>
              </w:tc>
            </w:tr>
            <w:tr w:rsidR="004D6A4A" w:rsidRPr="002F2323" w:rsidTr="004D6A4A">
              <w:trPr>
                <w:trHeight w:val="485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i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"Развитие физической культуры и спорта на территории Лесозаводского городского округа на 2014-2020 годы"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18014,22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16612,6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-1401,62</w:t>
                  </w:r>
                </w:p>
              </w:tc>
            </w:tr>
            <w:tr w:rsidR="004D6A4A" w:rsidRPr="002F2323" w:rsidTr="004D6A4A"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"Обращение с твёрдыми бытовыми и промышленными отходами в Лесозаводском городском округе на 2014-2020 годы"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D6A4A" w:rsidRPr="002F2323" w:rsidTr="004D6A4A"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2014-2020годах"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D6A4A" w:rsidRPr="002F2323" w:rsidTr="004D6A4A"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"Экономическое развитие Лесозаводского городского округа" на 2014-2020 годы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22634,29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23137,02</w:t>
                  </w:r>
                </w:p>
              </w:tc>
              <w:tc>
                <w:tcPr>
                  <w:tcW w:w="1276" w:type="dxa"/>
                </w:tcPr>
                <w:p w:rsidR="004D6A4A" w:rsidRPr="004D6A4A" w:rsidRDefault="00810039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+</w:t>
                  </w:r>
                  <w:r w:rsidR="004D6A4A"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502,73</w:t>
                  </w:r>
                </w:p>
              </w:tc>
            </w:tr>
            <w:tr w:rsidR="004D6A4A" w:rsidRPr="002F2323" w:rsidTr="004D6A4A">
              <w:trPr>
                <w:trHeight w:val="439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«Развитие муниципальной службы в администрации Лесозаводского городского округа на 2014-2020 годы»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D6A4A" w:rsidRPr="002F2323" w:rsidTr="004D6A4A">
              <w:trPr>
                <w:trHeight w:val="439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1295,39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1295,39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D6A4A" w:rsidRPr="002F2323" w:rsidTr="004D6A4A">
              <w:trPr>
                <w:trHeight w:val="439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"Формирование современной городской среды на территории Лесозаводского городского округа на 2018-2022 годы"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14483,37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14483,37</w:t>
                  </w:r>
                </w:p>
              </w:tc>
              <w:tc>
                <w:tcPr>
                  <w:tcW w:w="1276" w:type="dxa"/>
                </w:tcPr>
                <w:p w:rsidR="004D6A4A" w:rsidRPr="004D6A4A" w:rsidRDefault="004D6A4A" w:rsidP="004D6A4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6A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D6A4A" w:rsidRPr="002F2323" w:rsidTr="004D6A4A">
              <w:trPr>
                <w:trHeight w:val="291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Всего по муниципальным программам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738490,04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759068,21</w:t>
                  </w:r>
                </w:p>
              </w:tc>
              <w:tc>
                <w:tcPr>
                  <w:tcW w:w="1276" w:type="dxa"/>
                </w:tcPr>
                <w:p w:rsidR="004D6A4A" w:rsidRPr="00810039" w:rsidRDefault="00810039" w:rsidP="004D6A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</w:t>
                  </w:r>
                  <w:r w:rsidR="004D6A4A" w:rsidRPr="0081003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20578,17</w:t>
                  </w:r>
                </w:p>
              </w:tc>
            </w:tr>
            <w:tr w:rsidR="004D6A4A" w:rsidRPr="002F2323" w:rsidTr="004D6A4A">
              <w:trPr>
                <w:trHeight w:val="291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148737,39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154543,18</w:t>
                  </w:r>
                </w:p>
              </w:tc>
              <w:tc>
                <w:tcPr>
                  <w:tcW w:w="1276" w:type="dxa"/>
                </w:tcPr>
                <w:p w:rsidR="004D6A4A" w:rsidRPr="00810039" w:rsidRDefault="00810039" w:rsidP="004D6A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</w:t>
                  </w:r>
                  <w:r w:rsidR="004D6A4A" w:rsidRPr="0081003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5805,79</w:t>
                  </w:r>
                </w:p>
              </w:tc>
            </w:tr>
            <w:tr w:rsidR="004D6A4A" w:rsidRPr="002F2323" w:rsidTr="004D6A4A">
              <w:trPr>
                <w:trHeight w:val="291"/>
              </w:trPr>
              <w:tc>
                <w:tcPr>
                  <w:tcW w:w="425" w:type="dxa"/>
                </w:tcPr>
                <w:p w:rsidR="004D6A4A" w:rsidRPr="002F2323" w:rsidRDefault="004D6A4A" w:rsidP="002F2323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</w:tcPr>
                <w:p w:rsidR="004D6A4A" w:rsidRPr="002F2323" w:rsidRDefault="004D6A4A" w:rsidP="002F2323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F232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1418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887227,41</w:t>
                  </w:r>
                </w:p>
              </w:tc>
              <w:tc>
                <w:tcPr>
                  <w:tcW w:w="1134" w:type="dxa"/>
                </w:tcPr>
                <w:p w:rsidR="004D6A4A" w:rsidRPr="002F2323" w:rsidRDefault="004D6A4A" w:rsidP="002F23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913611,39</w:t>
                  </w:r>
                </w:p>
              </w:tc>
              <w:tc>
                <w:tcPr>
                  <w:tcW w:w="1276" w:type="dxa"/>
                </w:tcPr>
                <w:p w:rsidR="004D6A4A" w:rsidRPr="00810039" w:rsidRDefault="00810039" w:rsidP="004D6A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</w:t>
                  </w:r>
                  <w:r w:rsidR="004D6A4A" w:rsidRPr="0081003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26383,98</w:t>
                  </w:r>
                </w:p>
              </w:tc>
            </w:tr>
          </w:tbl>
          <w:p w:rsidR="009F1F9D" w:rsidRDefault="009F1F9D" w:rsidP="0025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D738A7" w:rsidRPr="00A103C1" w:rsidRDefault="00A103C1" w:rsidP="0025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 w:cs="Arial"/>
                <w:color w:val="333333"/>
              </w:rPr>
              <w:t xml:space="preserve">          </w:t>
            </w:r>
            <w:r w:rsidR="00C13FA3" w:rsidRPr="00A103C1">
              <w:rPr>
                <w:rFonts w:ascii="Times New Roman" w:hAnsi="Times New Roman" w:cs="Times New Roman"/>
                <w:sz w:val="24"/>
                <w:szCs w:val="24"/>
              </w:rPr>
              <w:t xml:space="preserve">По включенным в проект решения о бюджете расходам по муниципальным </w:t>
            </w:r>
            <w:r w:rsidR="00C13FA3" w:rsidRPr="00A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программам </w:t>
            </w:r>
            <w:r w:rsidRPr="00A103C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13FA3" w:rsidRPr="00A103C1">
              <w:rPr>
                <w:rFonts w:ascii="Times New Roman" w:hAnsi="Times New Roman" w:cs="Times New Roman"/>
                <w:sz w:val="24"/>
                <w:szCs w:val="24"/>
              </w:rPr>
              <w:t>предоставлено финансово-экономическое обоснование и оценка эффективности реализации муниципальных программ в части влияния изменений на ожидаемый результат.</w:t>
            </w:r>
          </w:p>
          <w:p w:rsidR="00257787" w:rsidRDefault="00983AD5" w:rsidP="002577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98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C13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r w:rsidRPr="00983A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окращаются</w:t>
            </w:r>
            <w:r w:rsidR="00257787" w:rsidRPr="00983A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расходы</w:t>
            </w:r>
            <w:r w:rsidR="00C13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по муниципальным программам:</w:t>
            </w:r>
          </w:p>
          <w:p w:rsidR="00E91DA9" w:rsidRPr="00E91DA9" w:rsidRDefault="00C13FA3" w:rsidP="00E91DA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доступными и качественными услугами жилищно-коммунального комплекса населения Лесозаводского городского округа</w:t>
            </w:r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1200 </w:t>
            </w:r>
            <w:proofErr w:type="spellStart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содержанию мест захоронения. </w:t>
            </w:r>
            <w:proofErr w:type="gramStart"/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</w:t>
            </w:r>
            <w:r w:rsidR="00E91D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1DA9">
              <w:rPr>
                <w:rFonts w:ascii="Times New Roman" w:eastAsia="Calibri" w:hAnsi="Times New Roman" w:cs="Times New Roman"/>
                <w:sz w:val="24"/>
                <w:szCs w:val="24"/>
              </w:rPr>
              <w:t>на 01.10.2018</w:t>
            </w:r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администрацией Лесозаводского городского округа имеется кредиторская задолженность перед ООО «</w:t>
            </w:r>
            <w:proofErr w:type="spellStart"/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>Риторг</w:t>
            </w:r>
            <w:proofErr w:type="spellEnd"/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>» на сумму 660,2 тыс. руб. и перед ООО «</w:t>
            </w:r>
            <w:proofErr w:type="spellStart"/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>Риторг</w:t>
            </w:r>
            <w:proofErr w:type="spellEnd"/>
            <w:r w:rsidR="00E91DA9" w:rsidRPr="00E91DA9">
              <w:rPr>
                <w:rFonts w:ascii="Times New Roman" w:eastAsia="Calibri" w:hAnsi="Times New Roman" w:cs="Times New Roman"/>
                <w:sz w:val="24"/>
                <w:szCs w:val="24"/>
              </w:rPr>
              <w:t>-ДВ» на сумму 443,8 тыс. руб. Таким образом, уменьшение бюджетных ассигнований на данный вид расходов не обосновано экономией средств, и производится только с целью перераспределения расходов на другие статьи бюджета.</w:t>
            </w:r>
            <w:proofErr w:type="gramEnd"/>
          </w:p>
          <w:p w:rsidR="00C13FA3" w:rsidRDefault="00E91DA9" w:rsidP="002577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91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МП</w:t>
            </w:r>
            <w:r w:rsidRPr="002F2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на территории Лесозаводского городского округа</w:t>
            </w:r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91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9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  <w:r w:rsidR="0010703D">
              <w:rPr>
                <w:rFonts w:ascii="Times New Roman" w:hAnsi="Times New Roman"/>
                <w:sz w:val="24"/>
                <w:szCs w:val="24"/>
              </w:rPr>
              <w:t>на 570,0 тыс. руб. уменьшаются расходы на мероприятия по обеспечению безопасности муниципальных учреждений культуры; на 830,0 тыс. руб. уменьшаются расходы на проведение культурно-массовых мероприятий; на 400,0 тыс. руб. увеличиваются субсидии на выполнение муниципального задания учреждениям дополнительного образования.</w:t>
            </w:r>
          </w:p>
          <w:p w:rsidR="0010703D" w:rsidRDefault="0010703D" w:rsidP="00AA4F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10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на территории Лесозаводского городского округа</w:t>
            </w:r>
            <w:r w:rsidRPr="0010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на 1401,6 </w:t>
            </w:r>
            <w:proofErr w:type="spellStart"/>
            <w:r w:rsidRPr="0010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10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0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0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 том числе: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F1AEA">
              <w:rPr>
                <w:rFonts w:ascii="Times New Roman" w:hAnsi="Times New Roman"/>
                <w:sz w:val="24"/>
                <w:szCs w:val="24"/>
              </w:rPr>
              <w:t>сокращены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расходы на проектирование и строительство многофункциональной спортивной площадки за счет средств местного бюджета; на 98,38 тыс. руб. увеличены расходы на закупки товаров, работ и услуг.</w:t>
            </w:r>
          </w:p>
          <w:p w:rsidR="00A103C1" w:rsidRDefault="00A103C1" w:rsidP="00AA4F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10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Увеличиваются </w:t>
            </w:r>
            <w:r w:rsidRPr="00983A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по муниципальным программам:</w:t>
            </w:r>
          </w:p>
          <w:p w:rsidR="00A103C1" w:rsidRDefault="00A103C1" w:rsidP="00AA4F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МП «</w:t>
            </w: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Лесозаводского городского округа</w:t>
            </w:r>
            <w:r w:rsidRPr="0038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103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10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20377,44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из них: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8000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увелич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иваются 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>субсиди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муниципального задания бюджетным учреждениям дошкольного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на 10637,08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бюджетным учреждениям 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>5042,03 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местный бюджет, 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2440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краевой бюджет);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2140,37 тыс. руб.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учреждениям дополнительного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н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2300,0 тыс. руб. увеличиваются субсидии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краевого бюджета, при этом на 159,63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C13FA3">
              <w:rPr>
                <w:rFonts w:ascii="Times New Roman" w:eastAsia="Calibri" w:hAnsi="Times New Roman" w:cs="Times New Roman"/>
                <w:sz w:val="24"/>
                <w:szCs w:val="24"/>
              </w:rPr>
              <w:t>. уменьшаются расходы на мероприятия по обеспечению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местного бюджета).</w:t>
            </w:r>
          </w:p>
          <w:p w:rsidR="00A103C1" w:rsidRDefault="00A103C1" w:rsidP="00AA4F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4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МП «</w:t>
            </w: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жильем отдельных категорий граждан и развитие жилищного строительства на территории Лесозаводского городского округа</w:t>
            </w:r>
            <w:r w:rsidRPr="0038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1401,62 </w:t>
            </w:r>
            <w:proofErr w:type="spellStart"/>
            <w:r w:rsidRP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B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оплату кредиторской задолженности по выкупу жилья по </w:t>
            </w:r>
            <w:r w:rsidR="000B7F63">
              <w:rPr>
                <w:rFonts w:ascii="Times New Roman" w:hAnsi="Times New Roman"/>
                <w:sz w:val="24"/>
                <w:szCs w:val="24"/>
              </w:rPr>
              <w:t xml:space="preserve">подпрограмме по переселения граждан из аварийного жилья (по состоянию на 01.10.2018 кредиторская задолженность составляет в сумме 4478 </w:t>
            </w:r>
            <w:proofErr w:type="spellStart"/>
            <w:r w:rsidR="000B7F63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0B7F63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396E70" w:rsidRPr="00396E70" w:rsidRDefault="00396E70" w:rsidP="00AA4F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84787">
              <w:rPr>
                <w:rFonts w:ascii="Times New Roman" w:hAnsi="Times New Roman"/>
                <w:sz w:val="24"/>
                <w:szCs w:val="24"/>
              </w:rPr>
              <w:t>МП «</w:t>
            </w: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дорожной сети Лесозаводского городского округа</w:t>
            </w:r>
            <w:r w:rsidRPr="0038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96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1898 </w:t>
            </w:r>
            <w:proofErr w:type="spellStart"/>
            <w:r w:rsidRPr="00396E70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396E70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396E70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396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дорожной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</w:t>
            </w:r>
            <w:r w:rsidRPr="00217A3B">
              <w:rPr>
                <w:rFonts w:ascii="Times New Roman" w:hAnsi="Times New Roman"/>
                <w:color w:val="000000"/>
                <w:sz w:val="24"/>
                <w:szCs w:val="24"/>
              </w:rPr>
              <w:t>выделением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целевых средств из краевого бюджета.</w:t>
            </w:r>
          </w:p>
          <w:p w:rsidR="00AA4FC1" w:rsidRPr="00C10AE3" w:rsidRDefault="00AA4FC1" w:rsidP="00AA4F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C13FA3" w:rsidRPr="00384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r w:rsidRPr="003847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"Экономическое развитие Лесозаводского городского округа"</w:t>
            </w:r>
            <w:r w:rsidRPr="00C10A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103C1" w:rsidRPr="00C10A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A103C1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сумму </w:t>
            </w:r>
            <w:r w:rsidR="00A103C1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698,74 </w:t>
            </w:r>
            <w:proofErr w:type="spellStart"/>
            <w:r w:rsidR="00A103C1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A103C1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A103C1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A103C1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C10A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увеличиваются </w:t>
            </w:r>
            <w:r w:rsidR="00396E70" w:rsidRPr="00C10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  <w:r w:rsidR="00396E70" w:rsidRPr="00C10A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96E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396E70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698,74 </w:t>
            </w:r>
            <w:proofErr w:type="spellStart"/>
            <w:r w:rsidR="00396E70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396E70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6E70"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содержание многофункциональных центров</w:t>
            </w:r>
            <w:r w:rsidR="00396E70" w:rsidRPr="00C10A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</w:t>
            </w:r>
            <w:r w:rsidR="00A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 </w:t>
            </w:r>
            <w:r w:rsidRPr="00C1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Pr="00C10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краевого бюджета</w:t>
            </w:r>
            <w:r w:rsidR="00A10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C10A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96E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уменьшаются расходы на оплату процентных платежей по коммерческим кредитам на 196 </w:t>
            </w:r>
            <w:proofErr w:type="spellStart"/>
            <w:r w:rsidR="00396E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="00396E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55EE9" w:rsidRPr="00C04CAD" w:rsidRDefault="00655EE9" w:rsidP="00384787">
            <w:pPr>
              <w:tabs>
                <w:tab w:val="left" w:pos="0"/>
              </w:tabs>
              <w:ind w:right="-1" w:firstLine="454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отмечает, что </w:t>
            </w:r>
            <w:r w:rsidRPr="00C04C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нарушение  ст.4 Порядка</w:t>
            </w:r>
            <w:r w:rsidRPr="00C04C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0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округа, утвержденного Решением Думы  Лесозаводского городского округа от 27.09.2016 №520-НПА,</w:t>
            </w:r>
            <w:r w:rsidRPr="00C04C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C0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CAD">
              <w:rPr>
                <w:rFonts w:ascii="Times New Roman" w:hAnsi="Times New Roman" w:cs="Times New Roman"/>
                <w:sz w:val="24"/>
                <w:szCs w:val="24"/>
              </w:rPr>
              <w:t>проекты изменений в муниципальные программы, затрагивающие показатели решения Думы о бюджете Лесозаводского городского округа на текущий финансовый год и плановый период и влекущие</w:t>
            </w:r>
            <w:proofErr w:type="gramEnd"/>
            <w:r w:rsidRPr="00C04CAD">
              <w:rPr>
                <w:rFonts w:ascii="Times New Roman" w:hAnsi="Times New Roman" w:cs="Times New Roman"/>
                <w:sz w:val="24"/>
                <w:szCs w:val="24"/>
              </w:rPr>
              <w:t xml:space="preserve"> за собой необходимость внесения в данное </w:t>
            </w:r>
            <w:r w:rsidRPr="00C04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изменений, не представлены в Контрольно-счетную палату на экспертизу до внесения в Думу рассматриваемого  проекта решения.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NewRomanPSMT" w:hAnsi="TimesNewRomanPSMT" w:cs="TimesNewRomanPSMT"/>
                <w:sz w:val="28"/>
                <w:szCs w:val="28"/>
              </w:rPr>
              <w:t xml:space="preserve">         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предлагает Думе Лесозаводского городского округа учесть выводы и 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изложенные в настоящем заключении при рассмотрении Проекта решения.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P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655EE9" w:rsidRPr="00655EE9" w:rsidRDefault="00655EE9" w:rsidP="00655EE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2680" w:rsidRDefault="00FB2680"/>
    <w:sectPr w:rsidR="00FB2680" w:rsidSect="000773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62" w:rsidRDefault="00577B62" w:rsidP="000773F3">
      <w:r>
        <w:separator/>
      </w:r>
    </w:p>
  </w:endnote>
  <w:endnote w:type="continuationSeparator" w:id="0">
    <w:p w:rsidR="00577B62" w:rsidRDefault="00577B62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62" w:rsidRDefault="00577B62" w:rsidP="000773F3">
      <w:r>
        <w:separator/>
      </w:r>
    </w:p>
  </w:footnote>
  <w:footnote w:type="continuationSeparator" w:id="0">
    <w:p w:rsidR="00577B62" w:rsidRDefault="00577B62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EndPr/>
    <w:sdtContent>
      <w:p w:rsidR="00380DAA" w:rsidRDefault="00380D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486">
          <w:rPr>
            <w:noProof/>
          </w:rPr>
          <w:t>9</w:t>
        </w:r>
        <w:r>
          <w:fldChar w:fldCharType="end"/>
        </w:r>
      </w:p>
    </w:sdtContent>
  </w:sdt>
  <w:p w:rsidR="00380DAA" w:rsidRDefault="00380D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4"/>
  </w:num>
  <w:num w:numId="5">
    <w:abstractNumId w:val="27"/>
  </w:num>
  <w:num w:numId="6">
    <w:abstractNumId w:val="30"/>
  </w:num>
  <w:num w:numId="7">
    <w:abstractNumId w:val="17"/>
  </w:num>
  <w:num w:numId="8">
    <w:abstractNumId w:val="8"/>
  </w:num>
  <w:num w:numId="9">
    <w:abstractNumId w:val="36"/>
  </w:num>
  <w:num w:numId="10">
    <w:abstractNumId w:val="22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25"/>
  </w:num>
  <w:num w:numId="20">
    <w:abstractNumId w:val="3"/>
  </w:num>
  <w:num w:numId="21">
    <w:abstractNumId w:val="33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14"/>
  </w:num>
  <w:num w:numId="27">
    <w:abstractNumId w:val="1"/>
  </w:num>
  <w:num w:numId="28">
    <w:abstractNumId w:val="2"/>
  </w:num>
  <w:num w:numId="29">
    <w:abstractNumId w:val="26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2"/>
  </w:num>
  <w:num w:numId="34">
    <w:abstractNumId w:val="6"/>
  </w:num>
  <w:num w:numId="35">
    <w:abstractNumId w:val="35"/>
  </w:num>
  <w:num w:numId="36">
    <w:abstractNumId w:val="11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773F3"/>
    <w:rsid w:val="000B7F63"/>
    <w:rsid w:val="0010703D"/>
    <w:rsid w:val="00120D28"/>
    <w:rsid w:val="001E1588"/>
    <w:rsid w:val="00217A3B"/>
    <w:rsid w:val="00221AAF"/>
    <w:rsid w:val="00257787"/>
    <w:rsid w:val="00277E60"/>
    <w:rsid w:val="002A1D97"/>
    <w:rsid w:val="002F2323"/>
    <w:rsid w:val="00380DAA"/>
    <w:rsid w:val="00384787"/>
    <w:rsid w:val="00396E70"/>
    <w:rsid w:val="003C4D9E"/>
    <w:rsid w:val="003C704E"/>
    <w:rsid w:val="004416B1"/>
    <w:rsid w:val="0045217A"/>
    <w:rsid w:val="00452576"/>
    <w:rsid w:val="00454C9E"/>
    <w:rsid w:val="00455B5D"/>
    <w:rsid w:val="004D6A4A"/>
    <w:rsid w:val="004E53EC"/>
    <w:rsid w:val="005206C2"/>
    <w:rsid w:val="00534632"/>
    <w:rsid w:val="005652F8"/>
    <w:rsid w:val="00577B62"/>
    <w:rsid w:val="00607E74"/>
    <w:rsid w:val="006273A0"/>
    <w:rsid w:val="00655EE9"/>
    <w:rsid w:val="00671010"/>
    <w:rsid w:val="006716D4"/>
    <w:rsid w:val="006879A8"/>
    <w:rsid w:val="00691562"/>
    <w:rsid w:val="006E596F"/>
    <w:rsid w:val="00735622"/>
    <w:rsid w:val="00750B2A"/>
    <w:rsid w:val="00797234"/>
    <w:rsid w:val="007A53F8"/>
    <w:rsid w:val="007C3C3F"/>
    <w:rsid w:val="00810039"/>
    <w:rsid w:val="00822486"/>
    <w:rsid w:val="00843335"/>
    <w:rsid w:val="008C2733"/>
    <w:rsid w:val="008C38B7"/>
    <w:rsid w:val="00907E7D"/>
    <w:rsid w:val="0092672E"/>
    <w:rsid w:val="00933229"/>
    <w:rsid w:val="00956F75"/>
    <w:rsid w:val="00963BC4"/>
    <w:rsid w:val="00983AD5"/>
    <w:rsid w:val="009A1DC9"/>
    <w:rsid w:val="009C10EB"/>
    <w:rsid w:val="009F1F9D"/>
    <w:rsid w:val="00A103C1"/>
    <w:rsid w:val="00AA4FC1"/>
    <w:rsid w:val="00AD255C"/>
    <w:rsid w:val="00AF1B3C"/>
    <w:rsid w:val="00B266DC"/>
    <w:rsid w:val="00B63B3B"/>
    <w:rsid w:val="00BA3BE8"/>
    <w:rsid w:val="00BB19AD"/>
    <w:rsid w:val="00BE2F1F"/>
    <w:rsid w:val="00C04CAD"/>
    <w:rsid w:val="00C10AE3"/>
    <w:rsid w:val="00C13919"/>
    <w:rsid w:val="00C13FA3"/>
    <w:rsid w:val="00D738A7"/>
    <w:rsid w:val="00DA41CE"/>
    <w:rsid w:val="00DA7D49"/>
    <w:rsid w:val="00DA7F16"/>
    <w:rsid w:val="00DD6728"/>
    <w:rsid w:val="00E91DA9"/>
    <w:rsid w:val="00EA49C6"/>
    <w:rsid w:val="00EE5ABB"/>
    <w:rsid w:val="00EE5D7A"/>
    <w:rsid w:val="00F92428"/>
    <w:rsid w:val="00FB2680"/>
    <w:rsid w:val="00FC6714"/>
    <w:rsid w:val="00FE6E8C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9</Pages>
  <Words>4011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38</cp:revision>
  <cp:lastPrinted>2018-12-12T08:45:00Z</cp:lastPrinted>
  <dcterms:created xsi:type="dcterms:W3CDTF">2018-12-11T05:15:00Z</dcterms:created>
  <dcterms:modified xsi:type="dcterms:W3CDTF">2019-01-11T00:48:00Z</dcterms:modified>
</cp:coreProperties>
</file>