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52014" w14:textId="5314C006" w:rsidR="00672D9A" w:rsidRDefault="00672D9A" w:rsidP="00101093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Приложение </w:t>
      </w:r>
      <w:r w:rsidR="001010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</w:p>
    <w:p w14:paraId="5E178569" w14:textId="5F349454" w:rsidR="00101093" w:rsidRDefault="00101093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постановлению администрации</w:t>
      </w:r>
    </w:p>
    <w:p w14:paraId="3E626859" w14:textId="3E47DB48" w:rsidR="00101093" w:rsidRDefault="00101093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Лесозаводского муниципального округа</w:t>
      </w:r>
    </w:p>
    <w:p w14:paraId="1091A3DC" w14:textId="094D7208" w:rsidR="00101093" w:rsidRDefault="001C1999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 03.04.2026 № 657</w:t>
      </w:r>
    </w:p>
    <w:p w14:paraId="65B42103" w14:textId="77777777" w:rsidR="00101093" w:rsidRDefault="00101093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1F37AE8C" w14:textId="77777777" w:rsidR="00672D9A" w:rsidRDefault="00672D9A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57B8A54C" w14:textId="1A986C8E" w:rsidR="003C414B" w:rsidRDefault="003C414B" w:rsidP="001010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10</w:t>
      </w:r>
    </w:p>
    <w:p w14:paraId="4D098A72" w14:textId="59F2EBD2" w:rsidR="003C414B" w:rsidRDefault="003C414B" w:rsidP="001010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муниципальной программе «Защита населения и территории от</w:t>
      </w:r>
      <w:r w:rsidR="001010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чрезвычайных ситуаций, обеспечение пожарной безопасности и</w:t>
      </w:r>
      <w:r w:rsidR="001010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безопасности людей на водных</w:t>
      </w:r>
      <w:r w:rsidR="001010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объектах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округа» на 2021 - 2027 годы</w:t>
      </w:r>
    </w:p>
    <w:p w14:paraId="59D639CA" w14:textId="77777777" w:rsidR="00101093" w:rsidRDefault="00101093" w:rsidP="001010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0A73D44D" w14:textId="77777777" w:rsidR="00101093" w:rsidRPr="003C414B" w:rsidRDefault="00101093" w:rsidP="0010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02111228" w14:textId="77777777" w:rsidR="003C414B" w:rsidRPr="003C414B" w:rsidRDefault="003C414B" w:rsidP="0010109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Подпрограмма № 2</w:t>
      </w:r>
    </w:p>
    <w:p w14:paraId="5EB8A0CF" w14:textId="77777777" w:rsidR="00101093" w:rsidRDefault="003C414B" w:rsidP="00101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«Профилактика экстре</w:t>
      </w:r>
      <w:r w:rsidR="00101093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мизма и терроризма, минимизация</w:t>
      </w:r>
    </w:p>
    <w:p w14:paraId="63F23ABB" w14:textId="6BFE0854" w:rsidR="003C414B" w:rsidRPr="003C414B" w:rsidRDefault="003C414B" w:rsidP="00101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последствий проявления экстремизма и терроризма на территории</w:t>
      </w:r>
    </w:p>
    <w:p w14:paraId="5EC40C99" w14:textId="63FF2CB6" w:rsidR="003C414B" w:rsidRPr="003C414B" w:rsidRDefault="003C414B" w:rsidP="001010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Лесозаводского </w:t>
      </w:r>
      <w:r w:rsidR="001F4188" w:rsidRPr="001F418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округа» на 2021-2027 годы</w:t>
      </w:r>
    </w:p>
    <w:p w14:paraId="2224334F" w14:textId="77777777" w:rsidR="003C414B" w:rsidRDefault="003C414B" w:rsidP="00101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Паспорт подпрограммы</w:t>
      </w:r>
    </w:p>
    <w:p w14:paraId="18A44041" w14:textId="77777777" w:rsidR="00101093" w:rsidRPr="00101093" w:rsidRDefault="00101093" w:rsidP="00101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7041AC84" w14:textId="77777777" w:rsidR="00101093" w:rsidRPr="003C414B" w:rsidRDefault="00101093" w:rsidP="001010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tbl>
      <w:tblPr>
        <w:tblStyle w:val="TableGrid"/>
        <w:tblW w:w="9351" w:type="dxa"/>
        <w:tblInd w:w="62" w:type="dxa"/>
        <w:tblCellMar>
          <w:top w:w="9" w:type="dxa"/>
          <w:left w:w="101" w:type="dxa"/>
          <w:right w:w="109" w:type="dxa"/>
        </w:tblCellMar>
        <w:tblLook w:val="04A0" w:firstRow="1" w:lastRow="0" w:firstColumn="1" w:lastColumn="0" w:noHBand="0" w:noVBand="1"/>
      </w:tblPr>
      <w:tblGrid>
        <w:gridCol w:w="3059"/>
        <w:gridCol w:w="6292"/>
      </w:tblGrid>
      <w:tr w:rsidR="003C414B" w:rsidRPr="003C414B" w14:paraId="39C4B7B2" w14:textId="77777777" w:rsidTr="00451DA0">
        <w:trPr>
          <w:trHeight w:val="74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1C7D" w14:textId="77777777" w:rsidR="003C414B" w:rsidRPr="0010109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C97E" w14:textId="00C92AA9" w:rsidR="003C414B" w:rsidRPr="00101093" w:rsidRDefault="003C414B" w:rsidP="00101093">
            <w:pPr>
              <w:ind w:left="5" w:right="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«Профилактика экстремизма и терроризма, минимизация последствий проявления экстремизма и терроризма на территории Лесозаводского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округа» на 2021-2027 годы (далее – Подпрограмма)</w:t>
            </w:r>
          </w:p>
        </w:tc>
      </w:tr>
      <w:tr w:rsidR="003C414B" w:rsidRPr="003C414B" w14:paraId="426D5E8A" w14:textId="77777777" w:rsidTr="00451DA0">
        <w:trPr>
          <w:trHeight w:val="54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0819" w14:textId="77777777" w:rsidR="003C414B" w:rsidRPr="0010109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7827" w14:textId="17137196" w:rsidR="003C414B" w:rsidRPr="00101093" w:rsidRDefault="00921950" w:rsidP="003C414B">
            <w:pPr>
              <w:ind w:left="5" w:firstLine="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«Управление по делам гражданской обороны и чрезвычайным ситуациям Лесозаводского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округа»</w:t>
            </w:r>
          </w:p>
        </w:tc>
      </w:tr>
      <w:tr w:rsidR="003C414B" w:rsidRPr="003C414B" w14:paraId="2EE602EF" w14:textId="77777777" w:rsidTr="00451DA0">
        <w:trPr>
          <w:trHeight w:val="140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D09" w14:textId="77777777" w:rsidR="003C414B" w:rsidRPr="0010109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85B" w14:textId="77777777" w:rsidR="003C414B" w:rsidRPr="00101093" w:rsidRDefault="003C414B" w:rsidP="0010109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жизнеобеспечения,</w:t>
            </w:r>
          </w:p>
          <w:p w14:paraId="11BB7F17" w14:textId="44BB1691" w:rsidR="003C414B" w:rsidRPr="00101093" w:rsidRDefault="003C414B" w:rsidP="00101093">
            <w:pPr>
              <w:spacing w:after="5" w:line="238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развития села и сельского хозяйства, отдел социальной </w:t>
            </w:r>
            <w:r w:rsid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аботы,</w:t>
            </w:r>
          </w:p>
          <w:p w14:paraId="61075BB6" w14:textId="75349B12" w:rsidR="003C414B" w:rsidRPr="00101093" w:rsidRDefault="003C414B" w:rsidP="00101093">
            <w:pPr>
              <w:spacing w:line="243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Управление образования Лесозаводского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округа,</w:t>
            </w:r>
          </w:p>
          <w:p w14:paraId="728D398E" w14:textId="219EF6BF" w:rsidR="003C414B" w:rsidRPr="00101093" w:rsidRDefault="003C414B" w:rsidP="0010109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Управление культуры, молодежной политики и</w:t>
            </w:r>
            <w:r w:rsid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спорта Лесозаводского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округа, отдел учета и отчетности</w:t>
            </w:r>
          </w:p>
        </w:tc>
      </w:tr>
      <w:tr w:rsidR="003C414B" w:rsidRPr="003C414B" w14:paraId="03DE4214" w14:textId="77777777" w:rsidTr="00451DA0">
        <w:trPr>
          <w:trHeight w:val="1125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5886" w14:textId="77777777" w:rsidR="003C414B" w:rsidRPr="0010109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461" w14:textId="50BF3EA4" w:rsidR="003C414B" w:rsidRPr="00101093" w:rsidRDefault="00101093" w:rsidP="00101093">
            <w:pPr>
              <w:ind w:left="7" w:right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системы профилактических мер </w:t>
            </w:r>
            <w:proofErr w:type="spellStart"/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антиэкстремистской</w:t>
            </w:r>
            <w:proofErr w:type="spellEnd"/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антитеррористической направленности;</w:t>
            </w:r>
          </w:p>
          <w:p w14:paraId="3D5F1610" w14:textId="1EC3DAB4" w:rsidR="003C414B" w:rsidRPr="00101093" w:rsidRDefault="00101093" w:rsidP="00101093">
            <w:pPr>
              <w:spacing w:line="249" w:lineRule="auto"/>
              <w:ind w:left="7" w:right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распространение норм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установок толерантного сознания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поведения,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вание уважительного отношения к этнокультурным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конфессиональным различиям</w:t>
            </w:r>
          </w:p>
        </w:tc>
      </w:tr>
      <w:tr w:rsidR="003C414B" w:rsidRPr="003C414B" w14:paraId="6B04834F" w14:textId="77777777" w:rsidTr="00451DA0">
        <w:trPr>
          <w:trHeight w:val="105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99B7" w14:textId="77777777" w:rsidR="003C414B" w:rsidRPr="00101093" w:rsidRDefault="003C414B" w:rsidP="003C414B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A78C" w14:textId="1FFBDE7D" w:rsidR="003C414B" w:rsidRPr="00101093" w:rsidRDefault="00101093" w:rsidP="00101093">
            <w:pPr>
              <w:ind w:left="7"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причин и условий, способствующих возникновению и распространению экстремизма и терроризма;</w:t>
            </w:r>
          </w:p>
          <w:p w14:paraId="70EA63D3" w14:textId="2DCFC288" w:rsidR="003C414B" w:rsidRPr="00101093" w:rsidRDefault="00101093" w:rsidP="00101093">
            <w:pPr>
              <w:spacing w:line="249" w:lineRule="auto"/>
              <w:ind w:left="7"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информационно-пропагандистской работы, направленной на формирование у граждан толерантного поведения, способствующего</w:t>
            </w:r>
            <w:r w:rsidR="00451DA0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противодействию экстремизму в обществе</w:t>
            </w:r>
            <w:r w:rsidR="0045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C414B" w:rsidRPr="003C414B" w14:paraId="0B4D36D0" w14:textId="77777777" w:rsidTr="00451DA0">
        <w:trPr>
          <w:trHeight w:val="142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14B" w14:textId="49578E0A" w:rsidR="003C414B" w:rsidRPr="00101093" w:rsidRDefault="003C414B" w:rsidP="00451DA0">
            <w:pPr>
              <w:spacing w:after="5" w:line="23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индикаторы и показатели</w:t>
            </w:r>
            <w:r w:rsidR="0045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D39" w14:textId="2F40BD24" w:rsidR="003C414B" w:rsidRPr="00451DA0" w:rsidRDefault="00451DA0" w:rsidP="00451DA0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45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общественных или религиозных объединений, ликвидированных по причине осуществления ими экстремистской деятельности;</w:t>
            </w:r>
          </w:p>
          <w:p w14:paraId="405801E3" w14:textId="61A4E9A4" w:rsidR="003C414B" w:rsidRPr="00451DA0" w:rsidRDefault="00451DA0" w:rsidP="00451DA0">
            <w:pPr>
              <w:spacing w:line="249" w:lineRule="auto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45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зарегистрированных экстремистских акций, повлекших групповые нарушения общественного порядка и иное осложнение оперативной обстановки.</w:t>
            </w:r>
          </w:p>
        </w:tc>
      </w:tr>
      <w:tr w:rsidR="003C414B" w:rsidRPr="003C414B" w14:paraId="286B87F6" w14:textId="77777777" w:rsidTr="00451DA0">
        <w:trPr>
          <w:trHeight w:val="56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78C5" w14:textId="77777777" w:rsidR="003C414B" w:rsidRPr="0010109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E1AE" w14:textId="77777777" w:rsidR="003C414B" w:rsidRPr="00101093" w:rsidRDefault="003C414B" w:rsidP="003C41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– 2027 годы</w:t>
            </w:r>
          </w:p>
        </w:tc>
      </w:tr>
      <w:tr w:rsidR="003C414B" w:rsidRPr="003C414B" w14:paraId="774546DF" w14:textId="77777777" w:rsidTr="00451DA0">
        <w:trPr>
          <w:trHeight w:val="212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13D" w14:textId="77777777" w:rsidR="003C414B" w:rsidRPr="0010109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Объем и источники финансирования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999" w14:textId="4C902362" w:rsidR="003C414B" w:rsidRPr="00101093" w:rsidRDefault="003C414B" w:rsidP="00451DA0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 Подпрограммы за счет средств местного бюджета и составляет –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2392,54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</w:t>
            </w:r>
            <w:r w:rsidR="00451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рублей, в том числе:</w:t>
            </w:r>
          </w:p>
          <w:p w14:paraId="29E6956B" w14:textId="77777777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– 23,6 тыс. рублей;</w:t>
            </w:r>
          </w:p>
          <w:p w14:paraId="0DFF049D" w14:textId="77777777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– 37,8 тыс. рублей;</w:t>
            </w:r>
          </w:p>
          <w:p w14:paraId="0B60AD3E" w14:textId="77777777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– 0,0 тыс. рублей;</w:t>
            </w:r>
          </w:p>
          <w:p w14:paraId="16E2CB77" w14:textId="34EF7933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48416F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15A44097" w14:textId="100708E6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897,9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594EA8B6" w14:textId="3DCE5FBD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8416F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 тыс. рублей;</w:t>
            </w:r>
          </w:p>
          <w:p w14:paraId="39AB2F60" w14:textId="57138A13" w:rsidR="003C414B" w:rsidRPr="00101093" w:rsidRDefault="003C414B" w:rsidP="003C414B">
            <w:pPr>
              <w:numPr>
                <w:ilvl w:val="0"/>
                <w:numId w:val="7"/>
              </w:numPr>
              <w:spacing w:line="249" w:lineRule="auto"/>
              <w:ind w:right="79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1F4188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683,24</w:t>
            </w: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рублей.</w:t>
            </w:r>
          </w:p>
        </w:tc>
      </w:tr>
      <w:tr w:rsidR="003C414B" w:rsidRPr="003C414B" w14:paraId="75504E76" w14:textId="77777777" w:rsidTr="00451DA0">
        <w:trPr>
          <w:trHeight w:val="2093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C06A" w14:textId="77777777" w:rsidR="003C414B" w:rsidRPr="00101093" w:rsidRDefault="003C414B" w:rsidP="003C414B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F75" w14:textId="2FDE7AF6" w:rsidR="003C414B" w:rsidRPr="00101093" w:rsidRDefault="00451DA0" w:rsidP="00451DA0">
            <w:pPr>
              <w:spacing w:after="1" w:line="241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отсутствие общественных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объединений, ликвидированных по причине осуществления ими экстремистской деятельности;</w:t>
            </w:r>
          </w:p>
          <w:p w14:paraId="1376CA40" w14:textId="051FF62E" w:rsidR="003C414B" w:rsidRPr="00101093" w:rsidRDefault="00451DA0" w:rsidP="00451DA0">
            <w:pPr>
              <w:spacing w:line="243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снижение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зар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егистрированных экстремистских акций, повлекших групповые нарушения общественного порядка и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осложнение оперативной обстановки на территории городского округа;</w:t>
            </w:r>
          </w:p>
          <w:p w14:paraId="4F39BE8F" w14:textId="3633E8C7" w:rsidR="003C414B" w:rsidRPr="00101093" w:rsidRDefault="00451DA0" w:rsidP="00451DA0">
            <w:pPr>
              <w:spacing w:line="249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C414B" w:rsidRPr="0010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количества включенных в Федеральный список экстремистских материалов, выявленных на территории Приморского края.</w:t>
            </w:r>
          </w:p>
        </w:tc>
      </w:tr>
    </w:tbl>
    <w:p w14:paraId="125CE2AA" w14:textId="77777777" w:rsidR="005040C3" w:rsidRPr="005040C3" w:rsidRDefault="005040C3" w:rsidP="003C414B">
      <w:pPr>
        <w:keepNext/>
        <w:keepLines/>
        <w:spacing w:after="12" w:line="249" w:lineRule="auto"/>
        <w:ind w:left="928" w:right="175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4DEEEE5" w14:textId="77777777" w:rsidR="003C414B" w:rsidRPr="003C414B" w:rsidRDefault="003C414B" w:rsidP="005040C3">
      <w:pPr>
        <w:keepNext/>
        <w:keepLines/>
        <w:spacing w:after="12" w:line="249" w:lineRule="auto"/>
        <w:ind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1. Общая характеристика сферы реализации Подпрограммы</w:t>
      </w:r>
    </w:p>
    <w:p w14:paraId="177F7B92" w14:textId="1BDB4B00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Разработка настоящей Подпрограммы вызвана необходимостью выработки системного, комплексного подхода к решению проблемы профилактики экстремизма и терроризма. Настоящая подпрограмма призвана стать составной частью антитеррористической политики в соответствии с федеральными законами от 06.03.2006 № 35-ФЗ «О противодействии терроризму», от 25.07.2002 № 114-ФЗ «О противодействии экстремистской деятельности», решением Думы Лесозаводского городского округа от 30.06.2009 № 144-НПА «О Положении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«Об участии в профилактике терроризма и экстремизма, а также минимизации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(или) ликвидации последствий проявлений терроризма и экстремизма в границах Лесозаводского городского округа», иными федеральными и краевыми нормативными правовыми актами.</w:t>
      </w:r>
    </w:p>
    <w:p w14:paraId="10B4423F" w14:textId="0D61F268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Реализация мероприятий Подпрограммы направлена на создание среды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для противодействия распространению идеологии экстремизма и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терроризма,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proofErr w:type="gramEnd"/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 также активизацию работы по информационно-пропагандистскому обеспечению антитеррористических мероприятий, воспитание терпимого отношения к чужому мнению на территории Лесозаводского городского округа.</w:t>
      </w:r>
    </w:p>
    <w:p w14:paraId="6E5E12D2" w14:textId="019D41CC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современных условиях особого внимания требует профилактика экстремизма и терроризма в молодежной среде. В первую очередь это обусловлено тем, что молодежь представляет собой особую социальную группу, которая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роста на этой почве разного рода «этно- и «</w:t>
      </w:r>
      <w:proofErr w:type="spell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мигрантофобий</w:t>
      </w:r>
      <w:proofErr w:type="spell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- применению насилия в отношении мигрантов, иностранных граждан.</w:t>
      </w:r>
    </w:p>
    <w:p w14:paraId="2A04FB60" w14:textId="08F1E390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Экстремизм и терроризм сегодня немыслимы без информационной подпитки. На настроения в обществе сильное влияние оказывают средства массовой информации, которые способны как снизить уровень конфликтности в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обществе,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proofErr w:type="gramEnd"/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так и повысить его. Большое значение для организации противодействия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14:paraId="1C2C59BC" w14:textId="72272746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Одной из важнейших задач любых экстремистских акций является получение значительного общественного и политического резонанса, в первую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очередь,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proofErr w:type="gramEnd"/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 помощью средств массовой информации. Это является весьма эффективным «инструментом» для психологической дестабилизации широких кругов общественности и фактически способствует втягиванию в поддержку борьбы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 неясными целями огромной массы населения. Подобная активизация экстремистской и террористской деятельности может означать возбуждение, подогрев и инициирование ненависти людей против собственной власти, дестабилизацию обстановки в различных регионах, рост национальной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религиозной вражды.</w:t>
      </w:r>
    </w:p>
    <w:p w14:paraId="6C7B3C30" w14:textId="0FF529EA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Одним из основных направлений государственной политики является создание общегосударственной системы противодействия идеологии экстремизма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терроризма, включающей в себя:</w:t>
      </w:r>
    </w:p>
    <w:p w14:paraId="4EC0F4CC" w14:textId="2DAAE4C9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повышение общеобразовательного уровня граждан, развитие культуры, образование отдельных социальных групп, создание условий для развития традиционной и самобытной культуры;</w:t>
      </w:r>
    </w:p>
    <w:p w14:paraId="5B7C1D96" w14:textId="1017CB70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усиление пропагандистской работы среди населения, разъяснение сути мероприятий по противодействию экстремистской и террористской деятельности;</w:t>
      </w:r>
    </w:p>
    <w:p w14:paraId="4387D769" w14:textId="02C4D61E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создание эффективной системы просвещения граждан в части культурного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конфессионального многообразия и исторического единства жителей страны, истории религиозной нетерпимости, геноцида и других преступлений, порожденных экстремизмом и терроризмом;</w:t>
      </w:r>
    </w:p>
    <w:p w14:paraId="4D5FC1C4" w14:textId="7FACF5AF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обеспечение системы мер, направленных на недопущение пропаганды экстремистской идеологии, насилия в средствах массовой информации ЛГО, а также усиления контрпропаганды, переориентации на внедрение в социальную практику норм толерантного поведения и др.</w:t>
      </w:r>
    </w:p>
    <w:p w14:paraId="6D99683F" w14:textId="295A2832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Противостоять экстремизму и терроризму можно лишь на основе консолидации деятельности государственных органов, органов местного самоуправления, юридических лиц, независимо от форм собственности, а также общественных объединений и граждан.</w:t>
      </w:r>
    </w:p>
    <w:p w14:paraId="3141363E" w14:textId="5456E91B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Наиболее эффективно реализовать полномочия по осуществлению мер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противодействию экстремизму и терроризму возможно в рамках Подпрограммы.</w:t>
      </w:r>
    </w:p>
    <w:p w14:paraId="2DCABE05" w14:textId="4A53021A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Данная Подпрограмма призвана укрепить меры по профилактике терроризма, устранить причины и условия, способствующие его проявлению, обеспечить защищенность объектов возможных террористических посягательств, готовность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 минимизации и ликвидации последствий террористических актов. Реальными механизмами ее осуществления являются комплексные меры, направленные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 развитие гражданского общества, воспитание патриотизма и интернационализма, поддержание мира и согласия на территории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округа.</w:t>
      </w:r>
    </w:p>
    <w:p w14:paraId="55E882F5" w14:textId="1163D235" w:rsidR="003C414B" w:rsidRPr="003C414B" w:rsidRDefault="003C414B" w:rsidP="005040C3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Подпрограмма носит социальный характер, результаты ее реализации позволят создать условия, способствующие устойчивому социально-экономическому развитию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округа.</w:t>
      </w:r>
    </w:p>
    <w:p w14:paraId="53F4D33C" w14:textId="77777777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lastRenderedPageBreak/>
        <w:t>2. Цели и задачи Подпрограммы</w:t>
      </w:r>
    </w:p>
    <w:p w14:paraId="725883A7" w14:textId="3048A3A0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Целью Подпрограммы является минимизация социального, экономического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 экологического ущерба, наносимого населению, экономике и природной среде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от совершения террористических актов, а также создание условий для устранения причин, способствующих проявлению экстремизма и терроризма, в т. ч. устранение предпосылок распространения экстремистской и террористической идеологии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 территории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округа.</w:t>
      </w:r>
    </w:p>
    <w:p w14:paraId="48BF9C39" w14:textId="77777777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Основные направления достижения цели:</w:t>
      </w:r>
    </w:p>
    <w:p w14:paraId="79D9089A" w14:textId="6DB9F83B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реализация комплекса мер по профилактике терроризма, устранение причин и условий, способствующих их проявлению от возможных террористических посягательств, а также по минимизации и ликвидации последствий возможных террористических актов;</w:t>
      </w:r>
    </w:p>
    <w:p w14:paraId="3F3F206D" w14:textId="77777777" w:rsidR="005040C3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совершенствование взаимодействия органов местного самоуправления, правоохранительных, контролирующих органов, общественных объединений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граждан в решении задач противодействия терроризму и экстремизму, а также предупрежден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ия межнациональных конфликтов; </w:t>
      </w:r>
    </w:p>
    <w:p w14:paraId="162BEA3E" w14:textId="73CBCBB0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укрепление межнационального согласия.</w:t>
      </w:r>
    </w:p>
    <w:p w14:paraId="2DC60E63" w14:textId="09A02557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Мероприятия Подпрограммы направлены на решение следующих основных задач:</w:t>
      </w:r>
    </w:p>
    <w:p w14:paraId="2919F7E2" w14:textId="6C1626AD" w:rsidR="003C414B" w:rsidRPr="003C414B" w:rsidRDefault="005040C3" w:rsidP="005040C3">
      <w:pPr>
        <w:spacing w:after="11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выявление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причин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 условий,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способствующих возникновению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распространению экстремизма и терроризма;</w:t>
      </w:r>
    </w:p>
    <w:p w14:paraId="64476288" w14:textId="28D6A339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проведение информационно-пропагандистской работы, направленной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формирование у граждан толерантного поведения, способствующего противодействию экстремизму в обществе.</w:t>
      </w:r>
    </w:p>
    <w:p w14:paraId="219BD58C" w14:textId="4D409C98" w:rsidR="003C414B" w:rsidRPr="003C414B" w:rsidRDefault="003C414B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Оценка эффективности реализации Подпрограммы осуществляется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 использованием следующих целевых индикаторов:</w:t>
      </w:r>
    </w:p>
    <w:p w14:paraId="725C230A" w14:textId="42C459B9" w:rsidR="003C414B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число общественных или религиозных объединений, ликвидированных по причине осуществления ими экстремистской деятельности;</w:t>
      </w:r>
    </w:p>
    <w:p w14:paraId="53B925E7" w14:textId="1AA86156" w:rsid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число зарегистрированных экстремистских акций, повлекших групповые нарушения общественного порядка и иное осложнение оперативной обстановки.</w:t>
      </w:r>
    </w:p>
    <w:p w14:paraId="14DAFB47" w14:textId="77777777" w:rsidR="005040C3" w:rsidRPr="003C414B" w:rsidRDefault="005040C3" w:rsidP="005040C3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00EFDEB9" w14:textId="77777777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3. Целевые индикаторы (показатели) Подпрограммы</w:t>
      </w:r>
    </w:p>
    <w:p w14:paraId="0D3FFD7B" w14:textId="243CED5B" w:rsidR="003C414B" w:rsidRPr="003C414B" w:rsidRDefault="003C414B" w:rsidP="005040C3">
      <w:pPr>
        <w:spacing w:after="294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Целевые индикаторы (показатели) Подпрограммы приведены в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приложении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</w:t>
      </w:r>
      <w:proofErr w:type="gram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 Программе.</w:t>
      </w:r>
    </w:p>
    <w:p w14:paraId="6AEC19D8" w14:textId="77777777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4. Основные мероприятия Подпрограммы</w:t>
      </w:r>
    </w:p>
    <w:p w14:paraId="7EA867B7" w14:textId="64E7D3EF" w:rsidR="003C414B" w:rsidRPr="003C414B" w:rsidRDefault="003C414B" w:rsidP="005040C3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Перечень основных мероприятий по реализации Подпрограммы с указанием сроков исполнения и объемов финансирования приведен в приложении </w:t>
      </w:r>
      <w:r w:rsidR="005040C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 к Программе.</w:t>
      </w:r>
    </w:p>
    <w:p w14:paraId="1D9FE3D3" w14:textId="77777777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5. Механизм реализации Подпрограммы</w:t>
      </w:r>
    </w:p>
    <w:p w14:paraId="19F3D15F" w14:textId="11FE61F5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Мероприятия Подпрограммы реализуются органами администрации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округа, организациями и учреждениями, расположенными на территории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округа, осуществляющими меры по профилактике экстремизма и терроризма. Общую координацию действий по реализации Подпрограммы осуществляет 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МКУ 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«Управление по делам гражданской обороны и чрезвычайным ситуациям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округа»</w:t>
      </w:r>
      <w:r w:rsid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Соисполнители Подпрограммы несут ответственность за своевременную и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качественную подготовку</w:t>
      </w:r>
      <w:proofErr w:type="gramEnd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реализацию мероприятий Подпрограммы, обеспечивают эффективное использование средств, выделяемых на ее реализацию.</w:t>
      </w:r>
    </w:p>
    <w:p w14:paraId="39B3FA6F" w14:textId="5A219BCE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Для обеспечения мониторинга и анализа хода реализации Подпрограммы соисполнители ежеквартально, в срок до 15 числа месяца, следующего за отчетным, подготавливают и передают в 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МКУ «Управление по делам гражданской обороны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 чрезвычайным ситуациям Лесозаводского </w:t>
      </w:r>
      <w:r w:rsidR="001F4188" w:rsidRP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="00EA1AAC" w:rsidRP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округа»</w:t>
      </w:r>
      <w:r w:rsidR="00EA1AA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информацию о ходе реализации Подпрограммы.</w:t>
      </w:r>
    </w:p>
    <w:p w14:paraId="489B54C2" w14:textId="45D90810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Соисполнители Подпрограммы несут ответственность за качественное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своевременное исполнение мероприятий.</w:t>
      </w:r>
    </w:p>
    <w:p w14:paraId="0A0F678D" w14:textId="3217300B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Механизм реализации Подпрограммы основан на обеспечении достижения запланированных результатов, установленных в Подпрограмме </w:t>
      </w:r>
      <w:proofErr w:type="gramStart"/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показателей,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proofErr w:type="gramEnd"/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рамках выделяемых из местного бюджета средств путем последовательного выполнения предусмотренных Подпрограммой мероприятий.</w:t>
      </w:r>
    </w:p>
    <w:p w14:paraId="0C04543B" w14:textId="59B04DBF" w:rsidR="003C414B" w:rsidRPr="003C414B" w:rsidRDefault="003C414B" w:rsidP="0093173B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Реализация Подпрограммы осуществляется заказчиками Подпрограммы путем размещения заказов на поставки товаров, выполнение работ, оказание услуг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муниципальных нужд».</w:t>
      </w:r>
    </w:p>
    <w:p w14:paraId="2CEE185E" w14:textId="77777777" w:rsidR="0093173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6. Оценка применения м</w:t>
      </w:r>
      <w:r w:rsidR="0093173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ер муниципального регулирования</w:t>
      </w:r>
    </w:p>
    <w:p w14:paraId="046E9E7F" w14:textId="77777777" w:rsidR="0093173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сфере реализации Подпрограммы и сведения об основных мерах</w:t>
      </w:r>
    </w:p>
    <w:p w14:paraId="1D202444" w14:textId="22C325D0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правового регулирования</w:t>
      </w:r>
    </w:p>
    <w:p w14:paraId="751C0D75" w14:textId="77777777" w:rsidR="003C414B" w:rsidRPr="003C414B" w:rsidRDefault="003C414B" w:rsidP="0093173B">
      <w:pPr>
        <w:spacing w:after="290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 муниципального и правового регулирования в сфере реализации Подпрограммы не планируются.</w:t>
      </w:r>
    </w:p>
    <w:p w14:paraId="503D29A7" w14:textId="77777777" w:rsidR="003C414B" w:rsidRPr="003C414B" w:rsidRDefault="003C414B" w:rsidP="0093173B">
      <w:pPr>
        <w:spacing w:after="12" w:line="24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7. Прогноз сводных показателей муниципальных заданий</w:t>
      </w:r>
    </w:p>
    <w:p w14:paraId="5573D817" w14:textId="13227352" w:rsid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Формирование муниципальных заданий в рамках Подпрограммы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предусматривается.</w:t>
      </w:r>
    </w:p>
    <w:p w14:paraId="2BAED43A" w14:textId="77777777" w:rsidR="0093173B" w:rsidRPr="003C414B" w:rsidRDefault="0093173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5835BDD3" w14:textId="77777777" w:rsidR="003C414B" w:rsidRPr="003C414B" w:rsidRDefault="003C414B" w:rsidP="005040C3">
      <w:pPr>
        <w:keepNext/>
        <w:keepLines/>
        <w:spacing w:after="12" w:line="249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8. Ресурсное обеспечение Подпрограммы</w:t>
      </w:r>
    </w:p>
    <w:p w14:paraId="20C02ED5" w14:textId="54770378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Финансовые средства выделяются в пределах средств, предусмотренных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местном бюджете на реализацию мероприятий Подпрограммы в текущем финансовом году.</w:t>
      </w:r>
    </w:p>
    <w:p w14:paraId="07D1596E" w14:textId="119A6ACA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Объем финансирования Подпрограммы осуществляется за счет средств местного бюджета и составляет </w:t>
      </w:r>
      <w:r w:rsid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– 2392,54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рублей, в том числе:</w:t>
      </w:r>
    </w:p>
    <w:p w14:paraId="05607F58" w14:textId="77777777" w:rsidR="003C414B" w:rsidRPr="003C414B" w:rsidRDefault="003C414B" w:rsidP="0093173B">
      <w:pPr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23,6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рублей;</w:t>
      </w:r>
    </w:p>
    <w:p w14:paraId="62021727" w14:textId="77777777" w:rsidR="003C414B" w:rsidRPr="003C414B" w:rsidRDefault="003C414B" w:rsidP="0093173B">
      <w:pPr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37,8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рублей;</w:t>
      </w:r>
    </w:p>
    <w:p w14:paraId="053F1840" w14:textId="77777777" w:rsidR="003C414B" w:rsidRPr="003C414B" w:rsidRDefault="003C414B" w:rsidP="0093173B">
      <w:pPr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0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,0 тыс. рублей;</w:t>
      </w:r>
    </w:p>
    <w:p w14:paraId="609203FF" w14:textId="10D403C0" w:rsidR="003C414B" w:rsidRPr="003C414B" w:rsidRDefault="003C414B" w:rsidP="0093173B">
      <w:pPr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 w:rsidR="0048416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0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,0 тыс. рублей;</w:t>
      </w:r>
    </w:p>
    <w:p w14:paraId="5CB0490B" w14:textId="3AEC4112" w:rsidR="003C414B" w:rsidRPr="003C414B" w:rsidRDefault="003C414B" w:rsidP="0093173B">
      <w:pPr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 w:rsid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897,9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рублей;</w:t>
      </w:r>
    </w:p>
    <w:p w14:paraId="71EF0B0D" w14:textId="75D9F4F1" w:rsidR="003C414B" w:rsidRPr="0093173B" w:rsidRDefault="003C414B" w:rsidP="0093173B">
      <w:pPr>
        <w:pStyle w:val="a5"/>
        <w:numPr>
          <w:ilvl w:val="0"/>
          <w:numId w:val="3"/>
        </w:numPr>
        <w:spacing w:after="14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 w:rsidR="001F4188" w:rsidRP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</w:t>
      </w:r>
      <w:r w:rsidR="0048416F" w:rsidRP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</w:t>
      </w:r>
      <w:r w:rsidRP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0,0 тыс. рублей; </w:t>
      </w:r>
    </w:p>
    <w:p w14:paraId="7A87ECAD" w14:textId="1E8D9FF8" w:rsidR="003C414B" w:rsidRPr="003C414B" w:rsidRDefault="0093173B" w:rsidP="0093173B">
      <w:pPr>
        <w:spacing w:after="14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2027</w:t>
      </w:r>
      <w:r w:rsid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год – </w:t>
      </w:r>
      <w:r w:rsidR="001F418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683,24</w:t>
      </w:r>
      <w:r w:rsidR="003C414B"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тыс. рублей.</w:t>
      </w:r>
    </w:p>
    <w:p w14:paraId="4B8FABE6" w14:textId="3A3EB447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Финансовые средства выделяются в пределах средств, предусмотренных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местном бюджете на реализацию мероприятий Подпрограммы в текущем финансовом году.</w:t>
      </w:r>
    </w:p>
    <w:p w14:paraId="61C2648E" w14:textId="1296D0B4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Объемы финансовых средств, предусмотренных на реализацию мероприятий Подпрограммы, подлежат уточнению при формировании местного бюджета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очередной финансовый год на основе анализа полученных результатов и с учетом возможностей местного бюджета.</w:t>
      </w:r>
    </w:p>
    <w:p w14:paraId="799878CB" w14:textId="621EC135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ходе реализации Подпрограммы отдельные ее мероприятия </w:t>
      </w:r>
      <w:r w:rsidR="0093173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                       </w:t>
      </w: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установленном порядке могут уточняться, а объемы финансирования корректироваться с учетом утвержденных расходов местного бюджета.</w:t>
      </w:r>
    </w:p>
    <w:p w14:paraId="695F0273" w14:textId="77777777" w:rsidR="003C414B" w:rsidRPr="003C414B" w:rsidRDefault="003C414B" w:rsidP="0093173B">
      <w:pPr>
        <w:spacing w:after="295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Ресурсное обеспечение реализации Подпрограммы за счет средств местного бюджета приведено в приложении 6 к Программе.</w:t>
      </w:r>
    </w:p>
    <w:p w14:paraId="3A8D65F1" w14:textId="77777777" w:rsidR="0093173B" w:rsidRDefault="003C414B" w:rsidP="0093173B">
      <w:pPr>
        <w:spacing w:after="3" w:line="249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9. Сроки и этапы реализации подпрограммы</w:t>
      </w:r>
    </w:p>
    <w:p w14:paraId="7CEDD59B" w14:textId="5D8C90B6" w:rsidR="003C414B" w:rsidRPr="003C414B" w:rsidRDefault="003C414B" w:rsidP="0093173B">
      <w:pPr>
        <w:spacing w:after="3" w:line="249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C41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Подпрограмма реализуется с 2021 года в один этап.</w:t>
      </w:r>
    </w:p>
    <w:p w14:paraId="4B28A7B9" w14:textId="77777777" w:rsidR="003C414B" w:rsidRDefault="003C414B" w:rsidP="009317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ECEBCB" w14:textId="28B6C07E" w:rsidR="0093173B" w:rsidRPr="0093173B" w:rsidRDefault="0093173B" w:rsidP="009317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93173B" w:rsidRPr="0093173B" w:rsidSect="005040C3">
      <w:headerReference w:type="default" r:id="rId7"/>
      <w:pgSz w:w="11911" w:h="16832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9408F" w14:textId="77777777" w:rsidR="002031CF" w:rsidRDefault="002031CF" w:rsidP="005040C3">
      <w:pPr>
        <w:spacing w:after="0" w:line="240" w:lineRule="auto"/>
      </w:pPr>
      <w:r>
        <w:separator/>
      </w:r>
    </w:p>
  </w:endnote>
  <w:endnote w:type="continuationSeparator" w:id="0">
    <w:p w14:paraId="24C0E2E4" w14:textId="77777777" w:rsidR="002031CF" w:rsidRDefault="002031CF" w:rsidP="0050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204E0" w14:textId="77777777" w:rsidR="002031CF" w:rsidRDefault="002031CF" w:rsidP="005040C3">
      <w:pPr>
        <w:spacing w:after="0" w:line="240" w:lineRule="auto"/>
      </w:pPr>
      <w:r>
        <w:separator/>
      </w:r>
    </w:p>
  </w:footnote>
  <w:footnote w:type="continuationSeparator" w:id="0">
    <w:p w14:paraId="26B3149D" w14:textId="77777777" w:rsidR="002031CF" w:rsidRDefault="002031CF" w:rsidP="0050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231161"/>
      <w:docPartObj>
        <w:docPartGallery w:val="Page Numbers (Top of Page)"/>
        <w:docPartUnique/>
      </w:docPartObj>
    </w:sdtPr>
    <w:sdtEndPr/>
    <w:sdtContent>
      <w:p w14:paraId="2C5C6207" w14:textId="25D3056A" w:rsidR="005040C3" w:rsidRDefault="005040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99">
          <w:rPr>
            <w:noProof/>
          </w:rPr>
          <w:t>6</w:t>
        </w:r>
        <w:r>
          <w:fldChar w:fldCharType="end"/>
        </w:r>
      </w:p>
    </w:sdtContent>
  </w:sdt>
  <w:p w14:paraId="2ED98B29" w14:textId="77777777" w:rsidR="005040C3" w:rsidRDefault="005040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239"/>
    <w:multiLevelType w:val="hybridMultilevel"/>
    <w:tmpl w:val="BE8800BA"/>
    <w:lvl w:ilvl="0" w:tplc="2C7E23E8">
      <w:start w:val="2021"/>
      <w:numFmt w:val="decimal"/>
      <w:lvlText w:val="%1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58D35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DEB0D2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788DCA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90295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5A314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103762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6E273E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E82BC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3E38B9"/>
    <w:multiLevelType w:val="hybridMultilevel"/>
    <w:tmpl w:val="96A0E050"/>
    <w:lvl w:ilvl="0" w:tplc="1574523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AE462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C66EE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C28F0A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F04C8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90754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6C5BB0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3E574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966758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E11E0"/>
    <w:multiLevelType w:val="hybridMultilevel"/>
    <w:tmpl w:val="D6B8F9FE"/>
    <w:lvl w:ilvl="0" w:tplc="235857E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66F38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0816C2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1A14D2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16169A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D890A8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B8741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884266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8C4308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3A1B78"/>
    <w:multiLevelType w:val="hybridMultilevel"/>
    <w:tmpl w:val="2174DAB4"/>
    <w:lvl w:ilvl="0" w:tplc="B1E08F9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6CB4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F21EE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380D3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2A5A9A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3A1E4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72C20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EAE7D2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5401C6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760505"/>
    <w:multiLevelType w:val="hybridMultilevel"/>
    <w:tmpl w:val="7B26D32A"/>
    <w:lvl w:ilvl="0" w:tplc="9C0AD29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34BBE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6207F0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EB76C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1A5726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0A0FA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CFC0A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322C14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839C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6C1A5F"/>
    <w:multiLevelType w:val="hybridMultilevel"/>
    <w:tmpl w:val="AD12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13362"/>
    <w:multiLevelType w:val="hybridMultilevel"/>
    <w:tmpl w:val="02A48574"/>
    <w:lvl w:ilvl="0" w:tplc="5D365FD6">
      <w:start w:val="202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FEE2E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AFC4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3C8E1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F2CA1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200BB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C8103E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2201DE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0B9AE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96166A"/>
    <w:multiLevelType w:val="hybridMultilevel"/>
    <w:tmpl w:val="08AE496E"/>
    <w:lvl w:ilvl="0" w:tplc="565804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7F2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BCDFC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6EB42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C00BB8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B438A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EED36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3E60B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F6C16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D185B1A"/>
    <w:multiLevelType w:val="hybridMultilevel"/>
    <w:tmpl w:val="6616B138"/>
    <w:lvl w:ilvl="0" w:tplc="4BF68C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20C0E8">
      <w:start w:val="1"/>
      <w:numFmt w:val="bullet"/>
      <w:lvlText w:val="o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F246C0">
      <w:start w:val="1"/>
      <w:numFmt w:val="bullet"/>
      <w:lvlText w:val="▪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944722">
      <w:start w:val="1"/>
      <w:numFmt w:val="bullet"/>
      <w:lvlText w:val="•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0E11B6">
      <w:start w:val="1"/>
      <w:numFmt w:val="bullet"/>
      <w:lvlText w:val="o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8AEBD8">
      <w:start w:val="1"/>
      <w:numFmt w:val="bullet"/>
      <w:lvlText w:val="▪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84C2C6">
      <w:start w:val="1"/>
      <w:numFmt w:val="bullet"/>
      <w:lvlText w:val="•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5E678A">
      <w:start w:val="1"/>
      <w:numFmt w:val="bullet"/>
      <w:lvlText w:val="o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45A86">
      <w:start w:val="1"/>
      <w:numFmt w:val="bullet"/>
      <w:lvlText w:val="▪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4B"/>
    <w:rsid w:val="00101093"/>
    <w:rsid w:val="001C1999"/>
    <w:rsid w:val="001F4188"/>
    <w:rsid w:val="002031CF"/>
    <w:rsid w:val="003C414B"/>
    <w:rsid w:val="00451DA0"/>
    <w:rsid w:val="0048416F"/>
    <w:rsid w:val="005040C3"/>
    <w:rsid w:val="00672D9A"/>
    <w:rsid w:val="00921950"/>
    <w:rsid w:val="0093173B"/>
    <w:rsid w:val="00AD18EE"/>
    <w:rsid w:val="00E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9A7"/>
  <w15:chartTrackingRefBased/>
  <w15:docId w15:val="{65A7018B-B3FB-4DDA-AE3E-F954742A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414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D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D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0C3"/>
  </w:style>
  <w:style w:type="paragraph" w:styleId="a8">
    <w:name w:val="footer"/>
    <w:basedOn w:val="a"/>
    <w:link w:val="a9"/>
    <w:uiPriority w:val="99"/>
    <w:unhideWhenUsed/>
    <w:rsid w:val="0050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6</cp:revision>
  <cp:lastPrinted>2026-04-03T06:57:00Z</cp:lastPrinted>
  <dcterms:created xsi:type="dcterms:W3CDTF">2026-03-13T05:49:00Z</dcterms:created>
  <dcterms:modified xsi:type="dcterms:W3CDTF">2026-04-03T06:57:00Z</dcterms:modified>
</cp:coreProperties>
</file>