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A9" w:rsidRPr="0034370C" w:rsidRDefault="009F5FA9" w:rsidP="0034370C">
      <w:pPr>
        <w:pStyle w:val="ConsPlusNormal"/>
        <w:spacing w:line="360" w:lineRule="auto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4370C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9F5FA9" w:rsidRPr="0034370C" w:rsidRDefault="0034370C" w:rsidP="0034370C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9F5FA9" w:rsidRPr="0034370C" w:rsidRDefault="009F5FA9" w:rsidP="0034370C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4370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F5FA9" w:rsidRPr="0034370C" w:rsidRDefault="009F5FA9" w:rsidP="0034370C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4370C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9F5FA9" w:rsidRDefault="008746B6" w:rsidP="0034370C">
      <w:pPr>
        <w:pStyle w:val="ConsPlusNormal"/>
        <w:ind w:left="978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14.03.2025 № 496</w:t>
      </w:r>
    </w:p>
    <w:p w:rsidR="0034370C" w:rsidRPr="0034370C" w:rsidRDefault="0034370C" w:rsidP="003437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FA9" w:rsidRPr="0034370C" w:rsidRDefault="009F5FA9" w:rsidP="0034370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F5FA9" w:rsidRPr="0034370C" w:rsidRDefault="009F5FA9" w:rsidP="0034370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370C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34370C" w:rsidRDefault="009F5FA9" w:rsidP="003437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70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муниципальных услуг </w:t>
      </w:r>
      <w:r w:rsidRPr="0034370C">
        <w:rPr>
          <w:rFonts w:ascii="Times New Roman" w:hAnsi="Times New Roman" w:cs="Times New Roman"/>
          <w:b/>
          <w:sz w:val="26"/>
          <w:szCs w:val="26"/>
        </w:rPr>
        <w:t>в социальной сфере, в отношении которых формируется</w:t>
      </w:r>
    </w:p>
    <w:p w:rsidR="0034370C" w:rsidRDefault="009F5FA9" w:rsidP="003437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70C">
        <w:rPr>
          <w:rFonts w:ascii="Times New Roman" w:hAnsi="Times New Roman" w:cs="Times New Roman"/>
          <w:b/>
          <w:sz w:val="26"/>
          <w:szCs w:val="26"/>
        </w:rPr>
        <w:t>муниципальный социальный заказ</w:t>
      </w:r>
      <w:r w:rsidR="003437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370C">
        <w:rPr>
          <w:rFonts w:ascii="Times New Roman" w:hAnsi="Times New Roman" w:cs="Times New Roman"/>
          <w:b/>
          <w:sz w:val="26"/>
          <w:szCs w:val="26"/>
        </w:rPr>
        <w:t>на оказание муниципальных услуг в социальной сфере, отнесенных</w:t>
      </w:r>
    </w:p>
    <w:p w:rsidR="009F5FA9" w:rsidRPr="0034370C" w:rsidRDefault="009F5FA9" w:rsidP="003437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370C">
        <w:rPr>
          <w:rFonts w:ascii="Times New Roman" w:hAnsi="Times New Roman" w:cs="Times New Roman"/>
          <w:b/>
          <w:sz w:val="26"/>
          <w:szCs w:val="26"/>
        </w:rPr>
        <w:t>к полномочиям органов местного самоуправления Лесозаводского муниципального округа</w:t>
      </w:r>
    </w:p>
    <w:p w:rsidR="009F5FA9" w:rsidRDefault="009F5FA9" w:rsidP="0034370C">
      <w:pPr>
        <w:pStyle w:val="a3"/>
        <w:rPr>
          <w:rFonts w:ascii="Times New Roman" w:eastAsia="PT Astra Serif" w:hAnsi="Times New Roman" w:cs="Times New Roman"/>
          <w:sz w:val="26"/>
          <w:szCs w:val="26"/>
        </w:rPr>
      </w:pPr>
    </w:p>
    <w:p w:rsidR="0034370C" w:rsidRPr="0034370C" w:rsidRDefault="0034370C" w:rsidP="0034370C">
      <w:pPr>
        <w:pStyle w:val="a3"/>
        <w:jc w:val="right"/>
        <w:rPr>
          <w:rFonts w:ascii="Times New Roman" w:eastAsia="PT Astra Serif" w:hAnsi="Times New Roman" w:cs="Times New Roman"/>
          <w:sz w:val="26"/>
          <w:szCs w:val="26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2727"/>
        <w:gridCol w:w="3283"/>
        <w:gridCol w:w="2211"/>
        <w:gridCol w:w="2268"/>
      </w:tblGrid>
      <w:tr w:rsidR="009F5FA9" w:rsidRPr="00AC6451" w:rsidTr="0034370C">
        <w:trPr>
          <w:trHeight w:val="1631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услуги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Условие оказания муниципальной услуги</w:t>
            </w:r>
          </w:p>
        </w:tc>
        <w:tc>
          <w:tcPr>
            <w:tcW w:w="2268" w:type="dxa"/>
            <w:shd w:val="clear" w:color="auto" w:fill="auto"/>
            <w:hideMark/>
          </w:tcPr>
          <w:p w:rsid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 местного самоуправления, осуществляющего организацию оказания муниципальной услуги в социальной сфере</w:t>
            </w:r>
          </w:p>
        </w:tc>
      </w:tr>
      <w:tr w:rsidR="009F5FA9" w:rsidRPr="00AC6451" w:rsidTr="0034370C">
        <w:trPr>
          <w:trHeight w:val="557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804200О.99.0.ББ52АЖ72000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434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804200О.99.0.ББ52АЖ73000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с применением дистанционных образовательных технологий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437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804200О.99.0.ББ52АЗ44000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559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804200О.99.0.ББ52АЗ56000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с применением сетевой формы реализации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575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804200О.99.0.ББ52АП21000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Очно-заочное с применением дистанционных образовательных технологий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372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804200О.99.0.ББ52АБ20000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социально-</w:t>
            </w:r>
            <w:proofErr w:type="gramStart"/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гуманитарной  направленности</w:t>
            </w:r>
            <w:proofErr w:type="gramEnd"/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детей-инвалидов (адаптированная образовательная программа)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722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804200О.99.0.ББ52АЖ96000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578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804200О.99.0.ББ52АЗ08000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естественно-научной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с применением сетевой формы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374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804200О.99.0.ББ52АА27000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естественно-научной направленности для детей-инвалидов (адаптированная образовательная программа)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с применением дистанционных образовательных технологий и электронного обучения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677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804200О.99.0.ББ52АЗ20000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701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34370C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F5FA9"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804200О.99.0.ББ52АЗ21000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 с применением дистанционных образовательных технологий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720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804200О.99.0.ББ52АЗ32000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Очная с применением сетевой формы реализации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  <w:tr w:rsidR="009F5FA9" w:rsidRPr="00AC6451" w:rsidTr="0034370C">
        <w:trPr>
          <w:trHeight w:val="1701"/>
        </w:trPr>
        <w:tc>
          <w:tcPr>
            <w:tcW w:w="70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9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804200О.99.0.ББ52АЗ68000</w:t>
            </w:r>
          </w:p>
        </w:tc>
        <w:tc>
          <w:tcPr>
            <w:tcW w:w="2727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283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211" w:type="dxa"/>
            <w:shd w:val="clear" w:color="auto" w:fill="auto"/>
            <w:hideMark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2268" w:type="dxa"/>
            <w:shd w:val="clear" w:color="auto" w:fill="auto"/>
          </w:tcPr>
          <w:p w:rsidR="009F5FA9" w:rsidRPr="0034370C" w:rsidRDefault="009F5FA9" w:rsidP="00F1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37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 Управление образования ЛГО</w:t>
            </w:r>
          </w:p>
        </w:tc>
      </w:tr>
    </w:tbl>
    <w:p w:rsidR="003E6CE5" w:rsidRDefault="003E6CE5"/>
    <w:sectPr w:rsidR="003E6CE5" w:rsidSect="0034370C">
      <w:headerReference w:type="default" r:id="rId6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283" w:rsidRDefault="00580283" w:rsidP="0034370C">
      <w:pPr>
        <w:spacing w:after="0" w:line="240" w:lineRule="auto"/>
      </w:pPr>
      <w:r>
        <w:separator/>
      </w:r>
    </w:p>
  </w:endnote>
  <w:endnote w:type="continuationSeparator" w:id="0">
    <w:p w:rsidR="00580283" w:rsidRDefault="00580283" w:rsidP="003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283" w:rsidRDefault="00580283" w:rsidP="0034370C">
      <w:pPr>
        <w:spacing w:after="0" w:line="240" w:lineRule="auto"/>
      </w:pPr>
      <w:r>
        <w:separator/>
      </w:r>
    </w:p>
  </w:footnote>
  <w:footnote w:type="continuationSeparator" w:id="0">
    <w:p w:rsidR="00580283" w:rsidRDefault="00580283" w:rsidP="003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501759"/>
      <w:docPartObj>
        <w:docPartGallery w:val="Page Numbers (Top of Page)"/>
        <w:docPartUnique/>
      </w:docPartObj>
    </w:sdtPr>
    <w:sdtEndPr/>
    <w:sdtContent>
      <w:p w:rsidR="0034370C" w:rsidRDefault="00343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B6">
          <w:rPr>
            <w:noProof/>
          </w:rPr>
          <w:t>3</w:t>
        </w:r>
        <w:r>
          <w:fldChar w:fldCharType="end"/>
        </w:r>
      </w:p>
    </w:sdtContent>
  </w:sdt>
  <w:p w:rsidR="0034370C" w:rsidRDefault="00343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A9"/>
    <w:rsid w:val="0034370C"/>
    <w:rsid w:val="003E6CE5"/>
    <w:rsid w:val="00424421"/>
    <w:rsid w:val="00580283"/>
    <w:rsid w:val="008746B6"/>
    <w:rsid w:val="009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2A12-2DE8-4182-B706-D0E0E8EF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5F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9F5FA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70C"/>
  </w:style>
  <w:style w:type="paragraph" w:styleId="a6">
    <w:name w:val="footer"/>
    <w:basedOn w:val="a"/>
    <w:link w:val="a7"/>
    <w:uiPriority w:val="99"/>
    <w:unhideWhenUsed/>
    <w:rsid w:val="0034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70C"/>
  </w:style>
  <w:style w:type="paragraph" w:styleId="a8">
    <w:name w:val="Balloon Text"/>
    <w:basedOn w:val="a"/>
    <w:link w:val="a9"/>
    <w:uiPriority w:val="99"/>
    <w:semiHidden/>
    <w:unhideWhenUsed/>
    <w:rsid w:val="0034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2025-03-14T06:23:00Z</cp:lastPrinted>
  <dcterms:created xsi:type="dcterms:W3CDTF">2025-03-11T03:44:00Z</dcterms:created>
  <dcterms:modified xsi:type="dcterms:W3CDTF">2025-03-14T06:24:00Z</dcterms:modified>
</cp:coreProperties>
</file>