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52014" w14:textId="64CAFA16" w:rsidR="00672D9A" w:rsidRDefault="00672D9A" w:rsidP="00270373">
      <w:pPr>
        <w:spacing w:after="0" w:line="36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Приложение </w:t>
      </w:r>
      <w:r w:rsidR="0027037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</w:p>
    <w:p w14:paraId="5A101AC9" w14:textId="4B217EBA" w:rsidR="00270373" w:rsidRDefault="00270373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постановлению администрации</w:t>
      </w:r>
    </w:p>
    <w:p w14:paraId="36E07859" w14:textId="2A9353EE" w:rsidR="00270373" w:rsidRDefault="00270373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Лесозаводского городского округа</w:t>
      </w:r>
    </w:p>
    <w:p w14:paraId="1F37AE8C" w14:textId="27C5A3EB" w:rsidR="00672D9A" w:rsidRDefault="00A17017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 14.03.2024 № 421</w:t>
      </w:r>
    </w:p>
    <w:p w14:paraId="48778419" w14:textId="77777777" w:rsidR="00270373" w:rsidRDefault="00270373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C1381C2" w14:textId="77777777" w:rsidR="00270373" w:rsidRDefault="00270373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57B8A54C" w14:textId="5A390F62" w:rsidR="003C414B" w:rsidRDefault="003C414B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10</w:t>
      </w:r>
    </w:p>
    <w:p w14:paraId="4D098A72" w14:textId="25BBC686" w:rsidR="003C414B" w:rsidRDefault="003C414B" w:rsidP="00270373">
      <w:pPr>
        <w:spacing w:after="0" w:line="240" w:lineRule="auto"/>
        <w:ind w:left="5245" w:hanging="1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муниципальной программе «Защита населения и территории от</w:t>
      </w:r>
      <w:r w:rsidR="0027037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чрезвычайных ситуаций, обеспечение пожарной безопасности и</w:t>
      </w:r>
      <w:r w:rsidR="0027037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безопасности людей на водных</w:t>
      </w:r>
      <w:r w:rsidR="0027037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объектах Лесозаводс</w:t>
      </w:r>
      <w:r w:rsidR="0027037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кого городского округа» на 2021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-2027 годы</w:t>
      </w:r>
    </w:p>
    <w:p w14:paraId="43C0ADFF" w14:textId="77777777" w:rsidR="00270373" w:rsidRDefault="00270373" w:rsidP="00270373">
      <w:pPr>
        <w:spacing w:after="0" w:line="240" w:lineRule="auto"/>
        <w:ind w:left="5245" w:hanging="1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51DFF577" w14:textId="77777777" w:rsidR="00270373" w:rsidRPr="003C414B" w:rsidRDefault="00270373" w:rsidP="00270373">
      <w:pPr>
        <w:spacing w:after="0" w:line="240" w:lineRule="auto"/>
        <w:ind w:left="5245" w:hanging="1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02111228" w14:textId="77777777" w:rsidR="003C414B" w:rsidRPr="003C414B" w:rsidRDefault="003C414B" w:rsidP="00270373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Подпрограмма № 2</w:t>
      </w:r>
    </w:p>
    <w:p w14:paraId="0FD89C58" w14:textId="77777777" w:rsidR="00270373" w:rsidRDefault="003C414B" w:rsidP="00270373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«Профилактика экстремизма и терроризма, минимизация</w:t>
      </w:r>
    </w:p>
    <w:p w14:paraId="63F23ABB" w14:textId="03F283FC" w:rsidR="003C414B" w:rsidRPr="003C414B" w:rsidRDefault="003C414B" w:rsidP="00270373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последствий проявления экстремизма и терроризма на территории</w:t>
      </w:r>
    </w:p>
    <w:p w14:paraId="5EC40C99" w14:textId="77777777" w:rsidR="003C414B" w:rsidRPr="003C414B" w:rsidRDefault="003C414B" w:rsidP="0027037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Лесозаводского городского округа» на 2021-2027 годы</w:t>
      </w:r>
    </w:p>
    <w:p w14:paraId="2224334F" w14:textId="77777777" w:rsidR="003C414B" w:rsidRDefault="003C414B" w:rsidP="0027037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Паспорт подпрограммы</w:t>
      </w:r>
    </w:p>
    <w:p w14:paraId="17D8AA4E" w14:textId="77777777" w:rsidR="00270373" w:rsidRPr="00270373" w:rsidRDefault="00270373" w:rsidP="00270373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6E0A1E2B" w14:textId="77777777" w:rsidR="00270373" w:rsidRPr="00270373" w:rsidRDefault="00270373" w:rsidP="00270373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tbl>
      <w:tblPr>
        <w:tblStyle w:val="TableGrid"/>
        <w:tblW w:w="9351" w:type="dxa"/>
        <w:tblInd w:w="62" w:type="dxa"/>
        <w:tblCellMar>
          <w:top w:w="9" w:type="dxa"/>
          <w:left w:w="101" w:type="dxa"/>
          <w:right w:w="109" w:type="dxa"/>
        </w:tblCellMar>
        <w:tblLook w:val="04A0" w:firstRow="1" w:lastRow="0" w:firstColumn="1" w:lastColumn="0" w:noHBand="0" w:noVBand="1"/>
      </w:tblPr>
      <w:tblGrid>
        <w:gridCol w:w="3059"/>
        <w:gridCol w:w="6292"/>
      </w:tblGrid>
      <w:tr w:rsidR="003C414B" w:rsidRPr="003C414B" w14:paraId="39C4B7B2" w14:textId="77777777" w:rsidTr="00270373">
        <w:trPr>
          <w:trHeight w:val="10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1C7D" w14:textId="77777777" w:rsidR="003C414B" w:rsidRPr="0027037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Наименование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C97E" w14:textId="42ADBC6C" w:rsidR="003C414B" w:rsidRPr="00270373" w:rsidRDefault="003C414B" w:rsidP="003C414B">
            <w:pPr>
              <w:ind w:left="5"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«Профилактика экстремизма и терроризма, минимизация последствий проявления экстремизма и терроризма на территории Лесозаводского городс</w:t>
            </w:r>
            <w:r w:rsidR="00270373"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кого округа» на 2021-2027 годы </w:t>
            </w: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(далее – Подпрограмма)</w:t>
            </w:r>
          </w:p>
        </w:tc>
      </w:tr>
      <w:tr w:rsidR="003C414B" w:rsidRPr="003C414B" w14:paraId="426D5E8A" w14:textId="77777777" w:rsidTr="00270373">
        <w:trPr>
          <w:trHeight w:val="54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0819" w14:textId="77777777" w:rsidR="003C414B" w:rsidRPr="0027037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7827" w14:textId="77777777" w:rsidR="003C414B" w:rsidRPr="00270373" w:rsidRDefault="003C414B" w:rsidP="003C414B">
            <w:pPr>
              <w:ind w:left="5" w:firstLine="91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отдел по ГО и </w:t>
            </w:r>
            <w:proofErr w:type="gramStart"/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ЧС</w:t>
            </w:r>
            <w:proofErr w:type="gramEnd"/>
            <w:r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 и мобилизационной работе (МКУ ГОЧС)</w:t>
            </w:r>
          </w:p>
        </w:tc>
      </w:tr>
      <w:tr w:rsidR="003C414B" w:rsidRPr="003C414B" w14:paraId="2EE602EF" w14:textId="77777777" w:rsidTr="00270373">
        <w:trPr>
          <w:trHeight w:val="210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D09" w14:textId="77777777" w:rsidR="003C414B" w:rsidRPr="0027037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Соисполнители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85B" w14:textId="77777777" w:rsidR="003C414B" w:rsidRPr="0027037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управление жизнеобеспечения,</w:t>
            </w:r>
          </w:p>
          <w:p w14:paraId="11BB7F17" w14:textId="77777777" w:rsidR="003C414B" w:rsidRPr="00270373" w:rsidRDefault="003C414B" w:rsidP="003C414B">
            <w:pPr>
              <w:spacing w:after="5" w:line="238" w:lineRule="auto"/>
              <w:ind w:left="5" w:right="67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отдел развития села и сельского хозяйства, отдел социальной работы,</w:t>
            </w:r>
          </w:p>
          <w:p w14:paraId="61075BB6" w14:textId="051A2C0B" w:rsidR="003C414B" w:rsidRPr="00270373" w:rsidRDefault="003C414B" w:rsidP="003C414B">
            <w:pPr>
              <w:spacing w:line="243" w:lineRule="auto"/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МКУ </w:t>
            </w:r>
            <w:r w:rsidR="00270373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образования Лесозаводского городского округа,</w:t>
            </w:r>
          </w:p>
          <w:p w14:paraId="72564475" w14:textId="77777777" w:rsidR="003C414B" w:rsidRPr="00270373" w:rsidRDefault="003C414B" w:rsidP="003C414B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МКУ Управление культуры, молодежной политики и</w:t>
            </w:r>
          </w:p>
          <w:p w14:paraId="728D398E" w14:textId="77777777" w:rsidR="003C414B" w:rsidRPr="00270373" w:rsidRDefault="003C414B" w:rsidP="003C414B">
            <w:pPr>
              <w:ind w:left="5" w:right="747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спорта Лесозаводского городского округа, отдел учета и отчетности</w:t>
            </w:r>
          </w:p>
        </w:tc>
      </w:tr>
      <w:tr w:rsidR="003C414B" w:rsidRPr="003C414B" w14:paraId="03DE4214" w14:textId="77777777" w:rsidTr="00270373">
        <w:trPr>
          <w:trHeight w:val="140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5886" w14:textId="77777777" w:rsidR="003C414B" w:rsidRPr="0027037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Цель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461" w14:textId="3290B10C" w:rsidR="003C414B" w:rsidRPr="00270373" w:rsidRDefault="003C414B" w:rsidP="003C414B">
            <w:pPr>
              <w:numPr>
                <w:ilvl w:val="0"/>
                <w:numId w:val="4"/>
              </w:numPr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профилактических мер </w:t>
            </w:r>
            <w:proofErr w:type="spellStart"/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антиэкстремистской</w:t>
            </w:r>
            <w:proofErr w:type="spellEnd"/>
            <w:r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 и антитеррористической направленности;</w:t>
            </w:r>
          </w:p>
          <w:p w14:paraId="3D5F1610" w14:textId="48D56538" w:rsidR="003C414B" w:rsidRPr="00270373" w:rsidRDefault="003C414B" w:rsidP="00270373">
            <w:pPr>
              <w:numPr>
                <w:ilvl w:val="0"/>
                <w:numId w:val="4"/>
              </w:numPr>
              <w:spacing w:line="24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распространение норм и установок толерантного сознания и поведения, формирование уважительног</w:t>
            </w:r>
            <w:r w:rsidR="00270373">
              <w:rPr>
                <w:rFonts w:ascii="Times New Roman" w:eastAsia="Times New Roman" w:hAnsi="Times New Roman" w:cs="Times New Roman"/>
                <w:color w:val="000000"/>
              </w:rPr>
              <w:t xml:space="preserve">о отношения   к этнокультурным </w:t>
            </w: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и конфессиональным различиям</w:t>
            </w:r>
          </w:p>
        </w:tc>
      </w:tr>
      <w:tr w:rsidR="003C414B" w:rsidRPr="003C414B" w14:paraId="6B04834F" w14:textId="77777777" w:rsidTr="00270373">
        <w:trPr>
          <w:trHeight w:val="140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99B7" w14:textId="77777777" w:rsidR="003C414B" w:rsidRPr="0027037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Задачи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A78C" w14:textId="77777777" w:rsidR="003C414B" w:rsidRPr="00270373" w:rsidRDefault="003C414B" w:rsidP="003C414B">
            <w:pPr>
              <w:numPr>
                <w:ilvl w:val="0"/>
                <w:numId w:val="5"/>
              </w:numPr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выявление причин и условий, способствующих возникновению и распространению экстремизма и терроризма;</w:t>
            </w:r>
          </w:p>
          <w:p w14:paraId="70EA63D3" w14:textId="26AC74B2" w:rsidR="003C414B" w:rsidRPr="00270373" w:rsidRDefault="003C414B" w:rsidP="003C414B">
            <w:pPr>
              <w:numPr>
                <w:ilvl w:val="0"/>
                <w:numId w:val="5"/>
              </w:numPr>
              <w:spacing w:line="249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проведение информационно-пропагандистской работы, направленной на формирование у граждан толерантного поведения, способствующего</w:t>
            </w:r>
            <w:r w:rsidR="00270373"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 противодействию экстремизму в обществе</w:t>
            </w:r>
            <w:r w:rsidR="002703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C414B" w:rsidRPr="003C414B" w14:paraId="0B4D36D0" w14:textId="77777777" w:rsidTr="00270373">
        <w:trPr>
          <w:trHeight w:val="1803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1DA8" w14:textId="77777777" w:rsidR="003C414B" w:rsidRPr="00270373" w:rsidRDefault="003C414B" w:rsidP="003C414B">
            <w:pPr>
              <w:spacing w:after="5" w:line="238" w:lineRule="auto"/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Целевые индикаторы и показатели</w:t>
            </w:r>
          </w:p>
          <w:p w14:paraId="4C40914B" w14:textId="77777777" w:rsidR="003C414B" w:rsidRPr="0027037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D39" w14:textId="7F243720" w:rsidR="003C414B" w:rsidRPr="00270373" w:rsidRDefault="00270373" w:rsidP="00270373">
            <w:pPr>
              <w:ind w:left="34" w:righ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>число общественных или религиозных объединений, ликвидированных по причине осуществления ими экстремистской деятельности;</w:t>
            </w:r>
          </w:p>
          <w:p w14:paraId="405801E3" w14:textId="2B63B466" w:rsidR="003C414B" w:rsidRPr="00270373" w:rsidRDefault="00270373" w:rsidP="00270373">
            <w:pPr>
              <w:spacing w:line="249" w:lineRule="auto"/>
              <w:ind w:left="34" w:right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>число зарегистрированных экстремистских акций, повлекших групповые нарушения общественного порядка и иное осложнение оперативной обстановки.</w:t>
            </w:r>
          </w:p>
        </w:tc>
      </w:tr>
      <w:tr w:rsidR="003C414B" w:rsidRPr="003C414B" w14:paraId="286B87F6" w14:textId="77777777" w:rsidTr="00270373">
        <w:trPr>
          <w:trHeight w:val="58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78C5" w14:textId="77777777" w:rsidR="003C414B" w:rsidRPr="0027037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Этапы и сроки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E1AE" w14:textId="77777777" w:rsidR="003C414B" w:rsidRPr="00270373" w:rsidRDefault="003C414B" w:rsidP="003C41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2021 – 2027 годы</w:t>
            </w:r>
          </w:p>
        </w:tc>
      </w:tr>
      <w:tr w:rsidR="003C414B" w:rsidRPr="003C414B" w14:paraId="774546DF" w14:textId="77777777" w:rsidTr="00270373">
        <w:trPr>
          <w:trHeight w:val="299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13D" w14:textId="77777777" w:rsidR="003C414B" w:rsidRPr="0027037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Объем и источники финансирования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5D5" w14:textId="77777777" w:rsidR="003C414B" w:rsidRPr="00270373" w:rsidRDefault="003C414B" w:rsidP="003C414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Подпрограммы за счет средств местного бюджета и составляет – 484,4 тыс.</w:t>
            </w:r>
          </w:p>
          <w:p w14:paraId="25362999" w14:textId="77777777" w:rsidR="003C414B" w:rsidRPr="00270373" w:rsidRDefault="003C414B" w:rsidP="003C41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рублей, в том числе:</w:t>
            </w:r>
          </w:p>
          <w:p w14:paraId="29E6956B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23,6 тыс. рублей;</w:t>
            </w:r>
          </w:p>
          <w:p w14:paraId="0DFF049D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37,8 тыс. рублей;</w:t>
            </w:r>
          </w:p>
          <w:p w14:paraId="0B60AD3E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0,0 тыс. рублей;</w:t>
            </w:r>
          </w:p>
          <w:p w14:paraId="16E2CB77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38,0 тыс. рублей;</w:t>
            </w:r>
          </w:p>
          <w:p w14:paraId="15A44097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160,0 тыс. рублей;</w:t>
            </w:r>
          </w:p>
          <w:p w14:paraId="594EA8B6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160,0 тыс. рублей;</w:t>
            </w:r>
          </w:p>
          <w:p w14:paraId="39AB2F60" w14:textId="77777777" w:rsidR="003C414B" w:rsidRPr="0027037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год – 65,0 тыс. рублей.</w:t>
            </w:r>
          </w:p>
        </w:tc>
      </w:tr>
      <w:tr w:rsidR="003C414B" w:rsidRPr="003C414B" w14:paraId="75504E76" w14:textId="77777777" w:rsidTr="00270373">
        <w:trPr>
          <w:trHeight w:val="292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06A" w14:textId="77777777" w:rsidR="003C414B" w:rsidRPr="0027037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270373">
              <w:rPr>
                <w:rFonts w:ascii="Times New Roman" w:eastAsia="Times New Roman" w:hAnsi="Times New Roman" w:cs="Times New Roman"/>
                <w:color w:val="000000"/>
              </w:rPr>
              <w:t>Ожидаемые результаты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F75" w14:textId="6865FA7D" w:rsidR="003C414B" w:rsidRPr="00270373" w:rsidRDefault="00270373" w:rsidP="00270373">
            <w:pPr>
              <w:spacing w:after="1" w:line="241" w:lineRule="auto"/>
              <w:ind w:left="34" w:right="7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>отсутствие общественных объединений, ликвидированных по причине осуществления ими экстремистской деятельности;</w:t>
            </w:r>
          </w:p>
          <w:p w14:paraId="1376CA40" w14:textId="4E2EEB60" w:rsidR="003C414B" w:rsidRPr="00270373" w:rsidRDefault="00270373" w:rsidP="00270373">
            <w:pPr>
              <w:spacing w:line="243" w:lineRule="auto"/>
              <w:ind w:left="34" w:right="7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 xml:space="preserve">снижение числа зарегистрированных экстремистских акций,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ab/>
              <w:t>повлекших групповые нарушения общественного порядка и иное осложнение оперативной обстановки на территории городского округа;</w:t>
            </w:r>
          </w:p>
          <w:p w14:paraId="4F39BE8F" w14:textId="79089AA9" w:rsidR="003C414B" w:rsidRPr="00270373" w:rsidRDefault="00270373" w:rsidP="00270373">
            <w:pPr>
              <w:spacing w:line="249" w:lineRule="auto"/>
              <w:ind w:left="34" w:right="7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C414B" w:rsidRPr="00270373">
              <w:rPr>
                <w:rFonts w:ascii="Times New Roman" w:eastAsia="Times New Roman" w:hAnsi="Times New Roman" w:cs="Times New Roman"/>
                <w:color w:val="000000"/>
              </w:rPr>
              <w:t>снижение количества включенных в Федеральный список экстремистских материалов, выявленных на территории Приморского края.</w:t>
            </w:r>
          </w:p>
        </w:tc>
      </w:tr>
    </w:tbl>
    <w:p w14:paraId="0FFCFFEB" w14:textId="77777777" w:rsidR="00270373" w:rsidRDefault="00270373" w:rsidP="003C414B">
      <w:pPr>
        <w:keepNext/>
        <w:keepLines/>
        <w:spacing w:after="12" w:line="249" w:lineRule="auto"/>
        <w:ind w:left="928" w:right="175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</w:p>
    <w:p w14:paraId="24DEEEE5" w14:textId="77777777" w:rsidR="003C414B" w:rsidRPr="003C414B" w:rsidRDefault="003C414B" w:rsidP="003C414B">
      <w:pPr>
        <w:keepNext/>
        <w:keepLines/>
        <w:spacing w:after="12" w:line="249" w:lineRule="auto"/>
        <w:ind w:left="928" w:right="175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1. Общая характеристика сферы реализации Подпрограммы</w:t>
      </w:r>
    </w:p>
    <w:p w14:paraId="177F7B92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Разработка настоящей Подпрограммы вызвана необходимостью выработки системного, комплексного подхода к решению проблемы профилактики экстремизма и терроризма. Настоящая подпрограмма призвана стать составной частью антитеррористической политики в соответствии с федеральными законами от 06.03.2006 № 35-ФЗ «О противодействии терроризму», от 25.07.2002 № 114-ФЗ «О противодействии экстремистской деятельности», решением Думы Лесозаводского городского округа от 30.06.2009 № 144-НПА «О Положении «Об участии в профилактике терроризма и экстремизма, а также минимизации и (или) ликвидации последствий проявлений терроризма и экстремизма в границах Лесозаводского городского округа», иными федеральными и краевыми нормативными правовыми актами.</w:t>
      </w:r>
    </w:p>
    <w:p w14:paraId="10B4423F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Реализация мероприятий Подпрограммы направлена на создание среды для противодействия распространению идеологии экстремизма и терроризма, а также активизацию работы по информационно-пропагандистскому обеспечению антитеррористических мероприятий, воспитание терпимого отношения к чужому мнению на территории Лесозаводского городского округа.</w:t>
      </w:r>
    </w:p>
    <w:p w14:paraId="6E5E12D2" w14:textId="77777777" w:rsidR="003C414B" w:rsidRPr="003C414B" w:rsidRDefault="003C414B" w:rsidP="00270373">
      <w:pPr>
        <w:spacing w:after="3" w:line="249" w:lineRule="auto"/>
        <w:ind w:right="3" w:firstLine="54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 В современных условиях особого внимания требует профилактика экстремизма и терроризма в молодежной среде. В первую очередь это обусловлено тем, что молодежь представляет собой особую социальную группу, которая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«этно- и «</w:t>
      </w:r>
      <w:proofErr w:type="spell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мигрантофобий</w:t>
      </w:r>
      <w:proofErr w:type="spell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- применению насилия в отношении мигрантов, иностранных граждан.</w:t>
      </w:r>
    </w:p>
    <w:p w14:paraId="2A04FB60" w14:textId="77777777" w:rsidR="003C414B" w:rsidRPr="003C414B" w:rsidRDefault="003C414B" w:rsidP="00270373">
      <w:pPr>
        <w:spacing w:after="3" w:line="249" w:lineRule="auto"/>
        <w:ind w:right="3" w:firstLine="571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Экстремизм и терроризм сегодня немыслимы без информационной подпитки. На настроения в обществе сильное влияние оказывают средства массовой информации, которые способны как снизить уровень конфликтности в обществе, так и повысить его. 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14:paraId="1C2C59BC" w14:textId="77777777" w:rsidR="003C414B" w:rsidRPr="003C414B" w:rsidRDefault="003C414B" w:rsidP="00270373">
      <w:pPr>
        <w:spacing w:after="3" w:line="249" w:lineRule="auto"/>
        <w:ind w:right="3" w:firstLine="571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Одной из важнейших задач любых экстремистских акций является получение значительного общественного и политического резонанса, в первую очередь, с помощью средств массовой информации. Это является весьма эффективным «инструментом» для психологической дестабилизации широких кругов общественности и фактически способствует втягиванию в поддержку борьбы с неясными целями огромной массы населения. Подобная активизация экстремистской и террористской деятельности может означать возбуждение, подогрев и инициирование ненависти людей против собственной власти, дестабилизацию обстановки в различных регионах, рост национальной и религиозной вражды.</w:t>
      </w:r>
    </w:p>
    <w:p w14:paraId="6C7B3C30" w14:textId="77777777" w:rsidR="003C414B" w:rsidRPr="003C414B" w:rsidRDefault="003C414B" w:rsidP="00270373">
      <w:pPr>
        <w:spacing w:after="3" w:line="249" w:lineRule="auto"/>
        <w:ind w:right="3" w:firstLine="571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Одним из основных направлений государственной политики является создание общегосударственной системы противодействия идеологии экстремизма и терроризма, включающей в себя:</w:t>
      </w:r>
    </w:p>
    <w:p w14:paraId="4EC0F4CC" w14:textId="77777777" w:rsidR="003C414B" w:rsidRPr="003C414B" w:rsidRDefault="003C414B" w:rsidP="005B7E05">
      <w:pPr>
        <w:numPr>
          <w:ilvl w:val="0"/>
          <w:numId w:val="1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повышение общеобразовательного уровня граждан, развитие культуры, образование отдельных социальных групп, создание условий для развития традиционной и самобытной культуры;</w:t>
      </w:r>
    </w:p>
    <w:p w14:paraId="5B7C1D96" w14:textId="77777777" w:rsidR="003C414B" w:rsidRPr="003C414B" w:rsidRDefault="003C414B" w:rsidP="005B7E05">
      <w:pPr>
        <w:numPr>
          <w:ilvl w:val="0"/>
          <w:numId w:val="1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усиление пропагандистской работы среди населения, разъяснение сути мероприятий по противодействию экстремистской и террористской деятельности;</w:t>
      </w:r>
    </w:p>
    <w:p w14:paraId="4387D769" w14:textId="77777777" w:rsidR="003C414B" w:rsidRPr="003C414B" w:rsidRDefault="003C414B" w:rsidP="005B7E05">
      <w:pPr>
        <w:numPr>
          <w:ilvl w:val="0"/>
          <w:numId w:val="1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создание эффективной системы просвещения граждан в части культурного и конфессионального многообразия и исторического единства жителей страны, истории религиозной нетерпимости, геноцида и других преступлений, порожденных экстремизмом и терроризмом;</w:t>
      </w:r>
    </w:p>
    <w:p w14:paraId="4D5FC1C4" w14:textId="77777777" w:rsidR="003C414B" w:rsidRPr="003C414B" w:rsidRDefault="003C414B" w:rsidP="005B7E05">
      <w:pPr>
        <w:numPr>
          <w:ilvl w:val="0"/>
          <w:numId w:val="1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обеспечение системы мер, направленных на недопущение пропаганды экстремистской идеологии, насилия в средствах массовой информации ЛГО, а также усиления контрпропаганды, переориентации на внедрение в социальную практику норм толерантного поведения и др.</w:t>
      </w:r>
    </w:p>
    <w:p w14:paraId="6D99683F" w14:textId="77777777" w:rsidR="003C414B" w:rsidRPr="003C414B" w:rsidRDefault="003C414B" w:rsidP="00270373">
      <w:pPr>
        <w:spacing w:after="3" w:line="249" w:lineRule="auto"/>
        <w:ind w:right="3" w:firstLine="54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Противостоять экстремизму и терроризму можно лишь на основе консолидации деятельности государственных органов, органов местного самоуправления, юридических лиц, независимо от форм собственности, а также общественных объединений и граждан.</w:t>
      </w:r>
    </w:p>
    <w:p w14:paraId="3141363E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Наиболее эффективно реализовать полномочия по осуществлению мер по противодействию экстремизму и терроризму возможно в рамках Подпрограммы.</w:t>
      </w:r>
    </w:p>
    <w:p w14:paraId="2DCABE05" w14:textId="7D0DB603" w:rsidR="003C414B" w:rsidRPr="003C414B" w:rsidRDefault="003C414B" w:rsidP="005B7E05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Данная Подпрограмма призвана укрепить меры по профилактике терроризма, устранить причины и условия, способствующие его проявлению, обеспечить защищенность объектов возможных террористических посягательств, готовность к минимизации и ликвидации последствий террористических актов. Реальными механизмами ее осуществления являются комплексные меры, направленные на развитие гражданского общества, воспитание патриотизма и интернационализма, поддержание мира и согласия на территории Лесозаводского городского округа.</w:t>
      </w:r>
    </w:p>
    <w:p w14:paraId="55E882F5" w14:textId="120C7C9D" w:rsidR="003C414B" w:rsidRPr="003C414B" w:rsidRDefault="003C414B" w:rsidP="005B7E05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Подпрограмма носит социальный характер, результаты ее реализации позволят создать условия, способствующие устойчивому социально-экономическому развитию Лесозаводского городского округа.</w:t>
      </w:r>
    </w:p>
    <w:p w14:paraId="53F4D33C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2. Цели и задачи Подпрограммы</w:t>
      </w:r>
    </w:p>
    <w:p w14:paraId="725883A7" w14:textId="04155FB1" w:rsidR="003C414B" w:rsidRPr="003C414B" w:rsidRDefault="003C414B" w:rsidP="00270373">
      <w:pPr>
        <w:spacing w:after="3" w:line="249" w:lineRule="auto"/>
        <w:ind w:right="3" w:firstLine="54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Целью Подпрограммы является минимизация социального, экономического и экологического ущерба, наносимого населению, экономике и природной среде от совершения террористических актов, а также создание условий для устранения причин, способствующих проявлению экстремизма и терроризма, в т. ч. устранение предпосылок распространения экстремистской и террористической идеологии на территории Лесозаводского городского округа.</w:t>
      </w:r>
    </w:p>
    <w:p w14:paraId="48BF9C39" w14:textId="77777777" w:rsidR="003C414B" w:rsidRPr="003C414B" w:rsidRDefault="003C414B" w:rsidP="005B7E05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Основные направления достижения цели:</w:t>
      </w:r>
    </w:p>
    <w:p w14:paraId="79D9089A" w14:textId="77777777" w:rsidR="003C414B" w:rsidRPr="003C414B" w:rsidRDefault="003C414B" w:rsidP="005B7E05">
      <w:pPr>
        <w:numPr>
          <w:ilvl w:val="0"/>
          <w:numId w:val="2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реализация комплекса мер по профилактике терроризма, устранение причин и условий, способствующих их проявлению от возможных террористических посягательств, а также по минимизации и ликвидации последствий возможных террористических актов;</w:t>
      </w:r>
    </w:p>
    <w:p w14:paraId="162BEA3E" w14:textId="6857B184" w:rsidR="003C414B" w:rsidRPr="003C414B" w:rsidRDefault="003C414B" w:rsidP="005B7E05">
      <w:pPr>
        <w:numPr>
          <w:ilvl w:val="0"/>
          <w:numId w:val="2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совершенствование взаимодействия органов местного самоуправления, правоохранительных, контролирующих органов, общественных объединений и граждан в решении задач противодействия терроризму и экстремизму, а также предупреждения межнациональных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конфликтов;  -</w:t>
      </w:r>
      <w:proofErr w:type="gram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укрепление межнационального согласия.</w:t>
      </w:r>
    </w:p>
    <w:p w14:paraId="2DC60E63" w14:textId="4304B5CF" w:rsidR="003C414B" w:rsidRPr="003C414B" w:rsidRDefault="003C414B" w:rsidP="005B7E05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Мероприятия Подпрограммы направлены на решение следующих основных задач:</w:t>
      </w:r>
    </w:p>
    <w:p w14:paraId="2222B8D8" w14:textId="77777777" w:rsidR="003C414B" w:rsidRPr="003C414B" w:rsidRDefault="003C414B" w:rsidP="005B7E05">
      <w:pPr>
        <w:numPr>
          <w:ilvl w:val="0"/>
          <w:numId w:val="2"/>
        </w:numPr>
        <w:spacing w:after="11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выявление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причин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и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условий,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способствующих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возникновению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>и</w:t>
      </w:r>
    </w:p>
    <w:p w14:paraId="2919F7E2" w14:textId="77777777" w:rsidR="003C414B" w:rsidRPr="003C414B" w:rsidRDefault="003C414B" w:rsidP="005B7E05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распространению экстремизма и терроризма;</w:t>
      </w:r>
    </w:p>
    <w:p w14:paraId="64476288" w14:textId="77777777" w:rsidR="003C414B" w:rsidRPr="003C414B" w:rsidRDefault="003C414B" w:rsidP="005B7E05">
      <w:pPr>
        <w:numPr>
          <w:ilvl w:val="0"/>
          <w:numId w:val="2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проведение информационно-пропагандистской работы, направленной на формирование у граждан толерантного поведения, способствующего противодействию экстремизму в обществе.</w:t>
      </w:r>
    </w:p>
    <w:p w14:paraId="219BD58C" w14:textId="77777777" w:rsidR="003C414B" w:rsidRPr="003C414B" w:rsidRDefault="003C414B" w:rsidP="005B7E05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Оценка эффективности реализации Подпрограммы осуществляется с использованием следующих целевых индикаторов:</w:t>
      </w:r>
    </w:p>
    <w:p w14:paraId="725C230A" w14:textId="77777777" w:rsidR="003C414B" w:rsidRPr="003C414B" w:rsidRDefault="003C414B" w:rsidP="005B7E05">
      <w:pPr>
        <w:numPr>
          <w:ilvl w:val="0"/>
          <w:numId w:val="2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число общественных или религиозных объединений, ликвидированных по причине осуществления ими экстремистской деятельности;</w:t>
      </w:r>
    </w:p>
    <w:p w14:paraId="53B925E7" w14:textId="77777777" w:rsidR="003C414B" w:rsidRPr="003C414B" w:rsidRDefault="003C414B" w:rsidP="005B7E05">
      <w:pPr>
        <w:numPr>
          <w:ilvl w:val="0"/>
          <w:numId w:val="2"/>
        </w:numPr>
        <w:spacing w:after="3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число зарегистрированных экстремистских акций, повлекших групповые нарушения общественного порядка и иное осложнение оперативной обстановки.</w:t>
      </w:r>
    </w:p>
    <w:p w14:paraId="00EFDEB9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lastRenderedPageBreak/>
        <w:t>3. Целевые индикаторы (показатели) Подпрограммы</w:t>
      </w:r>
    </w:p>
    <w:p w14:paraId="0D3FFD7B" w14:textId="77777777" w:rsidR="003C414B" w:rsidRPr="003C414B" w:rsidRDefault="003C414B" w:rsidP="00270373">
      <w:pPr>
        <w:spacing w:after="294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Целевые индикаторы (показатели) Подпрограммы приведены в приложении 1 к Программе.</w:t>
      </w:r>
    </w:p>
    <w:p w14:paraId="6AEC19D8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4. Основные мероприятия Подпрограммы</w:t>
      </w:r>
    </w:p>
    <w:p w14:paraId="7EA867B7" w14:textId="77777777" w:rsidR="003C414B" w:rsidRPr="003C414B" w:rsidRDefault="003C414B" w:rsidP="00270373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Перечень основных мероприятий по реализации Подпрограммы с указанием сроков исполнения и объемов финансирования приведен в приложении 2 к Программе.</w:t>
      </w:r>
    </w:p>
    <w:p w14:paraId="1D9FE3D3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5. Механизм реализации Подпрограммы</w:t>
      </w:r>
    </w:p>
    <w:p w14:paraId="19F3D15F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Мероприятия Подпрограммы реализуются органами администрации Лесозаводского городского округа, организациями и учреждениями, расположенными на территории Лесозаводского городского округа, осуществляющими меры по профилактике экстремизма и терроризма. Общую координацию действий по реализации Подпрограммы осуществляет отдел по ГО и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ЧС</w:t>
      </w:r>
      <w:proofErr w:type="gram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мобилизационной работе (МКУ ГОЧС). Соисполнители Подпрограммы несут ответственность за своевременную и качественную подготовку и реализацию мероприятий Подпрограммы, обеспечивают эффективное использование средств, выделяемых на ее реализацию.</w:t>
      </w:r>
    </w:p>
    <w:p w14:paraId="39B3FA6F" w14:textId="77777777" w:rsidR="003C414B" w:rsidRPr="003C414B" w:rsidRDefault="003C414B" w:rsidP="00270373">
      <w:pPr>
        <w:spacing w:after="3" w:line="249" w:lineRule="auto"/>
        <w:ind w:right="3" w:firstLine="60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Для обеспечения мониторинга и анализа хода реализации Подпрограммы соисполнители ежеквартально, в срок до 15 числа месяца, следующего за отчетным, подготавливают и передают в отдел по ГО и ЧС и мобилизационной работе администрации (МКУ ГОЧС) информацию о ходе реализации Подпрограммы.</w:t>
      </w:r>
    </w:p>
    <w:p w14:paraId="489B54C2" w14:textId="77777777" w:rsidR="003C414B" w:rsidRPr="003C414B" w:rsidRDefault="003C414B" w:rsidP="00270373">
      <w:pPr>
        <w:spacing w:after="3" w:line="249" w:lineRule="auto"/>
        <w:ind w:right="3" w:firstLine="60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Соисполнители Подпрограммы несут ответственность за качественное и своевременное исполнение мероприятий.</w:t>
      </w:r>
    </w:p>
    <w:p w14:paraId="0A0F678D" w14:textId="77777777" w:rsidR="003C414B" w:rsidRPr="003C414B" w:rsidRDefault="003C414B" w:rsidP="00270373">
      <w:pPr>
        <w:spacing w:after="3" w:line="249" w:lineRule="auto"/>
        <w:ind w:right="3" w:firstLine="66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Механизм реализации Подпрограммы основан на обеспечении достижения запланированных результатов, установленных в Подпрограмме показателей, в рамках выделяемых из местного бюджета средств путем последовательного выполнения предусмотренных Подпрограммой мероприятий.</w:t>
      </w:r>
    </w:p>
    <w:p w14:paraId="0C04543B" w14:textId="77777777" w:rsidR="003C414B" w:rsidRPr="003C414B" w:rsidRDefault="003C414B" w:rsidP="00270373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Реализация Подпрограммы осуществляется заказчиками Подпрограммы путем размещения заказов на поставки товаров, выполнение работ, оказание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D202444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6. Оценка применения мер муниципального регулирования в сфере реализации Подпрограммы и сведения об основных мерах правового регулирования</w:t>
      </w:r>
    </w:p>
    <w:p w14:paraId="751C0D75" w14:textId="77777777" w:rsidR="003C414B" w:rsidRPr="003C414B" w:rsidRDefault="003C414B" w:rsidP="00270373">
      <w:pPr>
        <w:spacing w:after="290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 муниципального и правового регулирования в сфере реализации Подпрограммы не планируются.</w:t>
      </w:r>
    </w:p>
    <w:p w14:paraId="503D29A7" w14:textId="77777777" w:rsidR="003C414B" w:rsidRPr="003C414B" w:rsidRDefault="003C414B" w:rsidP="00270373">
      <w:pPr>
        <w:spacing w:after="12" w:line="249" w:lineRule="auto"/>
        <w:ind w:right="3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7. Прогноз сводных показателей муниципальных заданий</w:t>
      </w:r>
    </w:p>
    <w:p w14:paraId="5573D817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муниципальных заданий в рамках Подпрограммы не предусматривается.</w:t>
      </w:r>
    </w:p>
    <w:p w14:paraId="5835BDD3" w14:textId="77777777" w:rsidR="003C414B" w:rsidRPr="003C414B" w:rsidRDefault="003C414B" w:rsidP="0027037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lastRenderedPageBreak/>
        <w:t>8. Ресурсное обеспечение Подпрограммы</w:t>
      </w:r>
    </w:p>
    <w:p w14:paraId="20C02ED5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Финансовые средства выделяются в пределах средств, предусмотренных в местном бюджете на реализацию мероприятий Подпрограммы в текущем финансовом году.</w:t>
      </w:r>
    </w:p>
    <w:p w14:paraId="07D1596E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Объем финансирования Подпрограммы осуществляется за счет средств местного бюджета и составляет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484,4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рублей, в том числе:</w:t>
      </w:r>
    </w:p>
    <w:p w14:paraId="05607F58" w14:textId="77777777" w:rsidR="003C414B" w:rsidRP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23,6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рублей;</w:t>
      </w:r>
    </w:p>
    <w:p w14:paraId="62021727" w14:textId="77777777" w:rsidR="003C414B" w:rsidRP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37,8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рублей;</w:t>
      </w:r>
    </w:p>
    <w:p w14:paraId="053F1840" w14:textId="77777777" w:rsidR="003C414B" w:rsidRP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0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,0 тыс. рублей;</w:t>
      </w:r>
    </w:p>
    <w:p w14:paraId="609203FF" w14:textId="77777777" w:rsidR="003C414B" w:rsidRP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38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,0 тыс. рублей;</w:t>
      </w:r>
    </w:p>
    <w:p w14:paraId="5CB0490B" w14:textId="77777777" w:rsidR="003C414B" w:rsidRP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160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,0 тыс. рублей;</w:t>
      </w:r>
    </w:p>
    <w:p w14:paraId="71EF0B0D" w14:textId="77777777" w:rsidR="003C414B" w:rsidRDefault="003C414B" w:rsidP="00270373">
      <w:pPr>
        <w:numPr>
          <w:ilvl w:val="0"/>
          <w:numId w:val="3"/>
        </w:numPr>
        <w:spacing w:after="14" w:line="249" w:lineRule="auto"/>
        <w:ind w:left="0"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160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,0 тыс. рублей; </w:t>
      </w:r>
    </w:p>
    <w:p w14:paraId="7A87ECAD" w14:textId="77777777" w:rsidR="003C414B" w:rsidRPr="003C414B" w:rsidRDefault="003C414B" w:rsidP="00270373">
      <w:pPr>
        <w:spacing w:after="14" w:line="24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2027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год – 65,0 тыс. рублей.</w:t>
      </w:r>
    </w:p>
    <w:p w14:paraId="4B8FABE6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Финансовые средства выделяются в пределах средств, предусмотренных в местном бюджете на реализацию мероприятий Подпрограммы в текущем финансовом году.</w:t>
      </w:r>
    </w:p>
    <w:p w14:paraId="61C2648E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Объемы финансовых средств, предусмотренных на реализацию мероприятий Подпрограммы, подлежат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бюджета.</w:t>
      </w:r>
    </w:p>
    <w:p w14:paraId="799878CB" w14:textId="77777777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ходе реализации Подпрограммы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местного бюджета.</w:t>
      </w:r>
    </w:p>
    <w:p w14:paraId="695F0273" w14:textId="77777777" w:rsidR="003C414B" w:rsidRPr="003C414B" w:rsidRDefault="003C414B" w:rsidP="00270373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Ресурсное обеспечение реализации Подпрограммы за счет средств местного бюджета приведено в приложении 6 к Программе.</w:t>
      </w:r>
    </w:p>
    <w:p w14:paraId="04CB1A36" w14:textId="77777777" w:rsidR="00270373" w:rsidRDefault="003C414B" w:rsidP="00270373">
      <w:pPr>
        <w:spacing w:after="3" w:line="249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9. Сроки </w:t>
      </w:r>
      <w:r w:rsidR="00270373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и этапы реализации подпрограммы</w:t>
      </w:r>
    </w:p>
    <w:p w14:paraId="7CEDD59B" w14:textId="7EB942DC" w:rsidR="003C414B" w:rsidRPr="003C414B" w:rsidRDefault="003C414B" w:rsidP="0027037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Подпрограмма реализуется с 2021 года в один этап.</w:t>
      </w:r>
    </w:p>
    <w:p w14:paraId="4B28A7B9" w14:textId="77777777" w:rsidR="003C414B" w:rsidRDefault="003C414B" w:rsidP="002703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E0AC79" w14:textId="04AD5C55" w:rsidR="00270373" w:rsidRPr="00270373" w:rsidRDefault="00270373" w:rsidP="002703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270373" w:rsidRPr="00270373" w:rsidSect="00270373">
      <w:headerReference w:type="default" r:id="rId7"/>
      <w:pgSz w:w="11911" w:h="16832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E092A" w14:textId="77777777" w:rsidR="00B3490D" w:rsidRDefault="00B3490D" w:rsidP="00270373">
      <w:pPr>
        <w:spacing w:after="0" w:line="240" w:lineRule="auto"/>
      </w:pPr>
      <w:r>
        <w:separator/>
      </w:r>
    </w:p>
  </w:endnote>
  <w:endnote w:type="continuationSeparator" w:id="0">
    <w:p w14:paraId="072B469A" w14:textId="77777777" w:rsidR="00B3490D" w:rsidRDefault="00B3490D" w:rsidP="0027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003FA" w14:textId="77777777" w:rsidR="00B3490D" w:rsidRDefault="00B3490D" w:rsidP="00270373">
      <w:pPr>
        <w:spacing w:after="0" w:line="240" w:lineRule="auto"/>
      </w:pPr>
      <w:r>
        <w:separator/>
      </w:r>
    </w:p>
  </w:footnote>
  <w:footnote w:type="continuationSeparator" w:id="0">
    <w:p w14:paraId="727B1095" w14:textId="77777777" w:rsidR="00B3490D" w:rsidRDefault="00B3490D" w:rsidP="0027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337454"/>
      <w:docPartObj>
        <w:docPartGallery w:val="Page Numbers (Top of Page)"/>
        <w:docPartUnique/>
      </w:docPartObj>
    </w:sdtPr>
    <w:sdtEndPr/>
    <w:sdtContent>
      <w:p w14:paraId="5818A81B" w14:textId="295A4E99" w:rsidR="00270373" w:rsidRDefault="00270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17">
          <w:rPr>
            <w:noProof/>
          </w:rPr>
          <w:t>6</w:t>
        </w:r>
        <w:r>
          <w:fldChar w:fldCharType="end"/>
        </w:r>
      </w:p>
    </w:sdtContent>
  </w:sdt>
  <w:p w14:paraId="62D19D19" w14:textId="77777777" w:rsidR="00270373" w:rsidRDefault="002703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239"/>
    <w:multiLevelType w:val="hybridMultilevel"/>
    <w:tmpl w:val="BE8800BA"/>
    <w:lvl w:ilvl="0" w:tplc="2C7E23E8">
      <w:start w:val="2021"/>
      <w:numFmt w:val="decimal"/>
      <w:lvlText w:val="%1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58D35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DEB0D2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788DCA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90295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5A314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03762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6E273E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E82BC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E38B9"/>
    <w:multiLevelType w:val="hybridMultilevel"/>
    <w:tmpl w:val="96A0E050"/>
    <w:lvl w:ilvl="0" w:tplc="1574523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AE462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C66EE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C28F0A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F04C8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90754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6C5BB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3E574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966758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E11E0"/>
    <w:multiLevelType w:val="hybridMultilevel"/>
    <w:tmpl w:val="D6B8F9FE"/>
    <w:lvl w:ilvl="0" w:tplc="235857E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66F38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0816C2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1A14D2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16169A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D890A8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B8741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884266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8C4308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3A1B78"/>
    <w:multiLevelType w:val="hybridMultilevel"/>
    <w:tmpl w:val="2174DAB4"/>
    <w:lvl w:ilvl="0" w:tplc="B1E08F9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6CB4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F21EE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380D3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2A5A9A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3A1E4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72C20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EAE7D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5401C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760505"/>
    <w:multiLevelType w:val="hybridMultilevel"/>
    <w:tmpl w:val="7B26D32A"/>
    <w:lvl w:ilvl="0" w:tplc="9C0AD29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34BBE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6207F0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EB76C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1A5726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0A0FA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CFC0A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322C14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839C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213362"/>
    <w:multiLevelType w:val="hybridMultilevel"/>
    <w:tmpl w:val="E1BA5ED6"/>
    <w:lvl w:ilvl="0" w:tplc="CE484856">
      <w:start w:val="202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FEE2E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AFC4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3C8E1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F2CA1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200BB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C8103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2201DE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0B9A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96166A"/>
    <w:multiLevelType w:val="hybridMultilevel"/>
    <w:tmpl w:val="08AE496E"/>
    <w:lvl w:ilvl="0" w:tplc="565804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7F2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BCDFC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6EB42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C00BB8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B438A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EED36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3E60B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F6C16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4010E1"/>
    <w:multiLevelType w:val="hybridMultilevel"/>
    <w:tmpl w:val="6054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85B1A"/>
    <w:multiLevelType w:val="hybridMultilevel"/>
    <w:tmpl w:val="6616B138"/>
    <w:lvl w:ilvl="0" w:tplc="4BF68C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20C0E8">
      <w:start w:val="1"/>
      <w:numFmt w:val="bullet"/>
      <w:lvlText w:val="o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F246C0">
      <w:start w:val="1"/>
      <w:numFmt w:val="bullet"/>
      <w:lvlText w:val="▪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944722">
      <w:start w:val="1"/>
      <w:numFmt w:val="bullet"/>
      <w:lvlText w:val="•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1B6">
      <w:start w:val="1"/>
      <w:numFmt w:val="bullet"/>
      <w:lvlText w:val="o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8AEBD8">
      <w:start w:val="1"/>
      <w:numFmt w:val="bullet"/>
      <w:lvlText w:val="▪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84C2C6">
      <w:start w:val="1"/>
      <w:numFmt w:val="bullet"/>
      <w:lvlText w:val="•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E678A">
      <w:start w:val="1"/>
      <w:numFmt w:val="bullet"/>
      <w:lvlText w:val="o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45A86">
      <w:start w:val="1"/>
      <w:numFmt w:val="bullet"/>
      <w:lvlText w:val="▪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4B"/>
    <w:rsid w:val="00270373"/>
    <w:rsid w:val="003917E7"/>
    <w:rsid w:val="003C414B"/>
    <w:rsid w:val="005B7E05"/>
    <w:rsid w:val="00672D9A"/>
    <w:rsid w:val="00A17017"/>
    <w:rsid w:val="00B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9A7"/>
  <w15:chartTrackingRefBased/>
  <w15:docId w15:val="{65A7018B-B3FB-4DDA-AE3E-F954742A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41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D9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373"/>
  </w:style>
  <w:style w:type="paragraph" w:styleId="a7">
    <w:name w:val="footer"/>
    <w:basedOn w:val="a"/>
    <w:link w:val="a8"/>
    <w:uiPriority w:val="99"/>
    <w:unhideWhenUsed/>
    <w:rsid w:val="0027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373"/>
  </w:style>
  <w:style w:type="paragraph" w:styleId="a9">
    <w:name w:val="List Paragraph"/>
    <w:basedOn w:val="a"/>
    <w:uiPriority w:val="34"/>
    <w:qFormat/>
    <w:rsid w:val="0027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6</cp:revision>
  <cp:lastPrinted>2024-03-14T00:52:00Z</cp:lastPrinted>
  <dcterms:created xsi:type="dcterms:W3CDTF">2024-02-12T05:46:00Z</dcterms:created>
  <dcterms:modified xsi:type="dcterms:W3CDTF">2024-03-14T00:53:00Z</dcterms:modified>
</cp:coreProperties>
</file>